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4AA86">
      <w:pPr>
        <w:pStyle w:val="2"/>
        <w:rPr>
          <w:rFonts w:ascii="宋体" w:hAnsi="宋体" w:eastAsia="宋体" w:cs="宋体"/>
          <w:b/>
          <w:bCs/>
          <w:sz w:val="36"/>
          <w:szCs w:val="36"/>
        </w:rPr>
      </w:pPr>
      <w:r>
        <w:rPr>
          <w:rFonts w:hint="eastAsia" w:ascii="Times New Roman" w:eastAsia="宋体"/>
          <w:b/>
          <w:bCs/>
          <w:sz w:val="36"/>
          <w:szCs w:val="36"/>
        </w:rPr>
        <w:t>202</w:t>
      </w:r>
      <w:r>
        <w:rPr>
          <w:rFonts w:hint="eastAsia" w:ascii="Times New Roman" w:eastAsia="宋体"/>
          <w:b/>
          <w:bCs/>
          <w:sz w:val="36"/>
          <w:szCs w:val="36"/>
          <w:lang w:val="en-US" w:eastAsia="zh-CN"/>
        </w:rPr>
        <w:t>4</w:t>
      </w:r>
      <w:r>
        <w:rPr>
          <w:rFonts w:hint="eastAsia" w:ascii="Times New Roman" w:eastAsia="宋体"/>
          <w:b/>
          <w:bCs/>
          <w:sz w:val="36"/>
          <w:szCs w:val="36"/>
        </w:rPr>
        <w:t>年度自然资源科学技术奖</w:t>
      </w:r>
      <w:r>
        <w:rPr>
          <w:rFonts w:hint="eastAsia" w:ascii="宋体" w:hAnsi="宋体" w:eastAsia="宋体" w:cs="宋体"/>
          <w:b/>
          <w:bCs/>
          <w:sz w:val="36"/>
          <w:szCs w:val="36"/>
        </w:rPr>
        <w:t>公示表</w:t>
      </w:r>
    </w:p>
    <w:p w14:paraId="67C102F0"/>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2940"/>
        <w:gridCol w:w="945"/>
        <w:gridCol w:w="3335"/>
      </w:tblGrid>
      <w:tr w14:paraId="56A3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vAlign w:val="center"/>
          </w:tcPr>
          <w:p w14:paraId="5C582970">
            <w:pPr>
              <w:adjustRightInd w:val="0"/>
              <w:snapToGrid w:val="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被</w:t>
            </w:r>
            <w:r>
              <w:rPr>
                <w:rFonts w:hint="eastAsia" w:asciiTheme="minorEastAsia" w:hAnsiTheme="minorEastAsia" w:eastAsiaTheme="minorEastAsia" w:cstheme="minorEastAsia"/>
                <w:b/>
                <w:bCs/>
                <w:sz w:val="21"/>
                <w:szCs w:val="21"/>
                <w:lang w:eastAsia="zh-CN"/>
              </w:rPr>
              <w:t>推荐人姓名</w:t>
            </w:r>
          </w:p>
        </w:tc>
        <w:tc>
          <w:tcPr>
            <w:tcW w:w="2940" w:type="dxa"/>
            <w:vAlign w:val="bottom"/>
          </w:tcPr>
          <w:p w14:paraId="490AD4DF">
            <w:pPr>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李炜</w:t>
            </w:r>
          </w:p>
        </w:tc>
        <w:tc>
          <w:tcPr>
            <w:tcW w:w="945" w:type="dxa"/>
            <w:vAlign w:val="bottom"/>
          </w:tcPr>
          <w:p w14:paraId="66081E58">
            <w:pPr>
              <w:spacing w:line="360" w:lineRule="auto"/>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
                <w:bCs w:val="0"/>
                <w:sz w:val="21"/>
                <w:szCs w:val="21"/>
                <w:lang w:eastAsia="zh-CN"/>
              </w:rPr>
              <w:t>性别</w:t>
            </w:r>
          </w:p>
        </w:tc>
        <w:tc>
          <w:tcPr>
            <w:tcW w:w="3335" w:type="dxa"/>
            <w:vAlign w:val="bottom"/>
          </w:tcPr>
          <w:p w14:paraId="17A66A8C">
            <w:pPr>
              <w:spacing w:line="360" w:lineRule="auto"/>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男</w:t>
            </w:r>
          </w:p>
        </w:tc>
      </w:tr>
      <w:tr w14:paraId="4D9B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vAlign w:val="center"/>
          </w:tcPr>
          <w:p w14:paraId="4EC65C1E">
            <w:pPr>
              <w:adjustRightInd w:val="0"/>
              <w:snapToGrid w:val="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出生年月</w:t>
            </w:r>
          </w:p>
        </w:tc>
        <w:tc>
          <w:tcPr>
            <w:tcW w:w="2940" w:type="dxa"/>
            <w:vAlign w:val="bottom"/>
          </w:tcPr>
          <w:p w14:paraId="4042D9F5">
            <w:pPr>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1981-08-27</w:t>
            </w:r>
          </w:p>
        </w:tc>
        <w:tc>
          <w:tcPr>
            <w:tcW w:w="945" w:type="dxa"/>
            <w:vAlign w:val="bottom"/>
          </w:tcPr>
          <w:p w14:paraId="6E58A1E8">
            <w:pPr>
              <w:spacing w:line="360" w:lineRule="auto"/>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
                <w:bCs w:val="0"/>
                <w:sz w:val="21"/>
                <w:szCs w:val="21"/>
                <w:lang w:eastAsia="zh-CN"/>
              </w:rPr>
              <w:t>党派</w:t>
            </w:r>
          </w:p>
        </w:tc>
        <w:tc>
          <w:tcPr>
            <w:tcW w:w="3335" w:type="dxa"/>
            <w:vAlign w:val="bottom"/>
          </w:tcPr>
          <w:p w14:paraId="50DCDCAF">
            <w:pPr>
              <w:spacing w:line="360" w:lineRule="auto"/>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中共党员</w:t>
            </w:r>
          </w:p>
        </w:tc>
      </w:tr>
      <w:tr w14:paraId="38E3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vAlign w:val="center"/>
          </w:tcPr>
          <w:p w14:paraId="4DFF8ACA">
            <w:pPr>
              <w:adjustRightInd w:val="0"/>
              <w:snapToGrid w:val="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单位及职务</w:t>
            </w:r>
          </w:p>
        </w:tc>
        <w:tc>
          <w:tcPr>
            <w:tcW w:w="7220" w:type="dxa"/>
            <w:gridSpan w:val="3"/>
            <w:vAlign w:val="bottom"/>
          </w:tcPr>
          <w:p w14:paraId="308BDE96">
            <w:pPr>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rPr>
              <w:t>浙江海风新能源科技发展有限公司副总经理</w:t>
            </w:r>
          </w:p>
        </w:tc>
      </w:tr>
      <w:tr w14:paraId="4F8C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vAlign w:val="center"/>
          </w:tcPr>
          <w:p w14:paraId="0E516FDB">
            <w:pPr>
              <w:adjustRightInd w:val="0"/>
              <w:snapToGrid w:val="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专业、专长</w:t>
            </w:r>
          </w:p>
        </w:tc>
        <w:tc>
          <w:tcPr>
            <w:tcW w:w="7220" w:type="dxa"/>
            <w:gridSpan w:val="3"/>
            <w:vAlign w:val="bottom"/>
          </w:tcPr>
          <w:p w14:paraId="76A93506">
            <w:pPr>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rPr>
              <w:t>港口、海岸及近海工程</w:t>
            </w:r>
          </w:p>
        </w:tc>
      </w:tr>
      <w:tr w14:paraId="37E4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vAlign w:val="center"/>
          </w:tcPr>
          <w:p w14:paraId="13C79267">
            <w:pPr>
              <w:adjustRightInd w:val="0"/>
              <w:snapToGrid w:val="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技术职称</w:t>
            </w:r>
          </w:p>
        </w:tc>
        <w:tc>
          <w:tcPr>
            <w:tcW w:w="7220" w:type="dxa"/>
            <w:gridSpan w:val="3"/>
            <w:vAlign w:val="bottom"/>
          </w:tcPr>
          <w:p w14:paraId="3792FA6F">
            <w:pPr>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rPr>
              <w:t>正高级工程师</w:t>
            </w:r>
          </w:p>
        </w:tc>
      </w:tr>
      <w:tr w14:paraId="31C2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vAlign w:val="center"/>
          </w:tcPr>
          <w:p w14:paraId="116E565F">
            <w:pPr>
              <w:adjustRightInd w:val="0"/>
              <w:snapToGrid w:val="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文化程度及最高学位</w:t>
            </w:r>
          </w:p>
        </w:tc>
        <w:tc>
          <w:tcPr>
            <w:tcW w:w="7220" w:type="dxa"/>
            <w:gridSpan w:val="3"/>
            <w:vAlign w:val="bottom"/>
          </w:tcPr>
          <w:p w14:paraId="637E9580">
            <w:pPr>
              <w:spacing w:line="360" w:lineRule="auto"/>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研究生博士</w:t>
            </w:r>
          </w:p>
        </w:tc>
      </w:tr>
      <w:tr w14:paraId="71CC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vAlign w:val="center"/>
          </w:tcPr>
          <w:p w14:paraId="326D0F45">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申报奖项</w:t>
            </w:r>
          </w:p>
        </w:tc>
        <w:tc>
          <w:tcPr>
            <w:tcW w:w="7220" w:type="dxa"/>
            <w:gridSpan w:val="3"/>
            <w:vAlign w:val="bottom"/>
          </w:tcPr>
          <w:p w14:paraId="37D2D1AC">
            <w:pPr>
              <w:spacing w:line="360" w:lineRule="auto"/>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青年科技奖</w:t>
            </w:r>
          </w:p>
        </w:tc>
      </w:tr>
      <w:tr w14:paraId="4939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44" w:type="dxa"/>
            <w:vAlign w:val="center"/>
          </w:tcPr>
          <w:p w14:paraId="3AE4F429">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代表性成果</w:t>
            </w:r>
            <w:r>
              <w:rPr>
                <w:rFonts w:hint="eastAsia" w:asciiTheme="minorEastAsia" w:hAnsiTheme="minorEastAsia" w:eastAsiaTheme="minorEastAsia" w:cstheme="minorEastAsia"/>
                <w:b/>
                <w:bCs/>
                <w:sz w:val="21"/>
                <w:szCs w:val="21"/>
              </w:rPr>
              <w:t>名称</w:t>
            </w:r>
          </w:p>
        </w:tc>
        <w:tc>
          <w:tcPr>
            <w:tcW w:w="7220" w:type="dxa"/>
            <w:gridSpan w:val="3"/>
            <w:vAlign w:val="center"/>
          </w:tcPr>
          <w:p w14:paraId="6BA37B1C">
            <w:pPr>
              <w:spacing w:line="240" w:lineRule="exact"/>
              <w:ind w:right="-20" w:firstLine="420" w:firstLineChars="20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rPr>
              <w:t>强台风、厚淤泥海域风电基础关键技术及工程应用</w:t>
            </w:r>
          </w:p>
        </w:tc>
      </w:tr>
      <w:tr w14:paraId="55A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Align w:val="center"/>
          </w:tcPr>
          <w:p w14:paraId="2D17B260">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主要完成单位</w:t>
            </w:r>
          </w:p>
        </w:tc>
        <w:tc>
          <w:tcPr>
            <w:tcW w:w="7220" w:type="dxa"/>
            <w:gridSpan w:val="3"/>
            <w:vAlign w:val="center"/>
          </w:tcPr>
          <w:p w14:paraId="7D272F99">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中国电建集团华东勘测设计研究院有限公司</w:t>
            </w:r>
          </w:p>
        </w:tc>
      </w:tr>
      <w:tr w14:paraId="6811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244" w:type="dxa"/>
            <w:vAlign w:val="center"/>
          </w:tcPr>
          <w:p w14:paraId="0218F1EC">
            <w:pPr>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推荐意见</w:t>
            </w:r>
          </w:p>
        </w:tc>
        <w:tc>
          <w:tcPr>
            <w:tcW w:w="7220" w:type="dxa"/>
            <w:gridSpan w:val="3"/>
            <w:vAlign w:val="center"/>
          </w:tcPr>
          <w:p w14:paraId="554B6DEB">
            <w:pPr>
              <w:spacing w:line="400" w:lineRule="exact"/>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kern w:val="2"/>
                <w:sz w:val="21"/>
                <w:szCs w:val="21"/>
              </w:rPr>
              <w:t xml:space="preserve">发展海上风电是实现双碳目标的重要战略途径。浙江等海域“淤泥厚、涌浪大、台风强”复杂恶劣建设环境，极易诱发基础结构周围海床动力弱化，导致工程灾变，是国内外海上风电建设中不曾遇到的难题。 </w:t>
            </w:r>
            <w:r>
              <w:rPr>
                <w:rFonts w:hint="eastAsia" w:ascii="宋体" w:hAnsi="宋体" w:eastAsia="宋体" w:cs="宋体"/>
                <w:kern w:val="2"/>
                <w:sz w:val="21"/>
                <w:szCs w:val="21"/>
              </w:rPr>
              <w:br w:type="textWrapping"/>
            </w:r>
            <w:r>
              <w:rPr>
                <w:rFonts w:hint="eastAsia" w:ascii="宋体" w:hAnsi="宋体" w:eastAsia="宋体" w:cs="宋体"/>
                <w:kern w:val="2"/>
                <w:sz w:val="21"/>
                <w:szCs w:val="21"/>
              </w:rPr>
              <w:t xml:space="preserve">  被推荐人带领技术团队突破国外技术封锁，研发出高强预应力锚栓连接式高桩高承台基础；开展了我国海上风电领域首次百米桩长的海上现场基桩试验，提出了海洋软弱土物理力学指标评价方法，建立了高桩高承台基础设计、施工成套技术体系；提出了高桩高承台基础全要素监测技术，形成了全寿命长期服役性能监控预警系统解决方案，实现了全寿命的感知-诊断-运维。成果纳入国家标准1部和行业标准4部。建成我国首个强台风、厚淤泥海域风电场“国电舟山普陀6号”，实现了零突破，获国家优质工程金奖，促进了新装备、新工艺、新技术的研发升级，打造了可复制、可推广、可借鉴的示范标杆工程。应用规模已超480座，直接经济效益超12亿元。被推荐人是我国海上风电领域前两个国家优质工程金奖项目总工程师，享受国务院政府特殊津贴，入选教育部长江学者、国家百千万人才“有突出贡献中青年专家”，国家优质工程金奖突出贡献者，被CCTV《总师传奇》“追风巨翼”专题报道，对推动我国海上风电领域科技进步和工程应用做出了较为突出的贡献。 </w:t>
            </w:r>
            <w:r>
              <w:rPr>
                <w:rFonts w:hint="eastAsia" w:ascii="宋体" w:hAnsi="宋体" w:eastAsia="宋体" w:cs="宋体"/>
                <w:kern w:val="2"/>
                <w:sz w:val="21"/>
                <w:szCs w:val="21"/>
              </w:rPr>
              <w:br w:type="textWrapping"/>
            </w:r>
            <w:r>
              <w:rPr>
                <w:rFonts w:hint="eastAsia" w:ascii="宋体" w:hAnsi="宋体" w:eastAsia="宋体" w:cs="宋体"/>
                <w:kern w:val="2"/>
                <w:sz w:val="21"/>
                <w:szCs w:val="21"/>
              </w:rPr>
              <w:t xml:space="preserve">  特推荐李炜同志申报提名本年度自然资源科学技术奖（青年科技奖）。 </w:t>
            </w:r>
          </w:p>
        </w:tc>
      </w:tr>
      <w:tr w14:paraId="69F5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2244" w:type="dxa"/>
            <w:vAlign w:val="center"/>
          </w:tcPr>
          <w:p w14:paraId="79B28928">
            <w:pPr>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成果简介</w:t>
            </w:r>
          </w:p>
        </w:tc>
        <w:tc>
          <w:tcPr>
            <w:tcW w:w="7220" w:type="dxa"/>
            <w:gridSpan w:val="3"/>
            <w:vAlign w:val="center"/>
          </w:tcPr>
          <w:p w14:paraId="72D4E2D4">
            <w:pPr>
              <w:autoSpaceDE w:val="0"/>
              <w:autoSpaceDN/>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发展海上风电是实现联合国可持续发展目标和我国双碳目标的重要战略途径。海上风电机组的基础结构投资占比超过25%，是决定项目经济可行的关键，浙江海域“淤泥厚、涌浪大、台风强”的复杂恶劣建设环境，极易诱发基础结构周围海床动力弱化，导致结构过度倾斜、失稳等岩土工程灾变，严重危及海上风电场和国家电力系统的运行安全，</w:t>
            </w:r>
            <w:r>
              <w:rPr>
                <w:rFonts w:hint="eastAsia" w:asciiTheme="minorEastAsia" w:hAnsiTheme="minorEastAsia" w:eastAsiaTheme="minorEastAsia" w:cstheme="minorEastAsia"/>
                <w:b/>
                <w:bCs/>
                <w:kern w:val="2"/>
                <w:sz w:val="21"/>
                <w:szCs w:val="21"/>
              </w:rPr>
              <w:t>是国内外海上风电建设中未曾遇到的重大难点，对基础结构选型和优化提出了严峻挑战。</w:t>
            </w:r>
            <w:r>
              <w:rPr>
                <w:rFonts w:hint="eastAsia" w:asciiTheme="minorEastAsia" w:hAnsiTheme="minorEastAsia" w:eastAsiaTheme="minorEastAsia" w:cstheme="minorEastAsia"/>
                <w:kern w:val="2"/>
                <w:sz w:val="21"/>
                <w:szCs w:val="21"/>
              </w:rPr>
              <w:t xml:space="preserve">  </w:t>
            </w:r>
          </w:p>
          <w:p w14:paraId="799E77C5">
            <w:pPr>
              <w:autoSpaceDE w:val="0"/>
              <w:autoSpaceDN/>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围绕国家海洋资源开发重大需求，聚焦浙江海域风电基础结构设计与运维中的“卡脖子”技术难点，历时多年科技攻关与工程实践转化应用： </w:t>
            </w:r>
          </w:p>
          <w:p w14:paraId="6B69F3A1">
            <w:pPr>
              <w:autoSpaceDE w:val="0"/>
              <w:autoSpaceDN/>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u w:val="single"/>
              </w:rPr>
              <w:t>（一）研发出适于“厚淤泥、大涌浪、强台风”复杂海洋环境的高强预应力锚栓连接式高桩高承台基础及桩身承载力提高的配套构造措施，获发明专利授权；</w:t>
            </w:r>
            <w:r>
              <w:rPr>
                <w:rFonts w:hint="eastAsia" w:asciiTheme="minorEastAsia" w:hAnsiTheme="minorEastAsia" w:eastAsiaTheme="minorEastAsia" w:cstheme="minorEastAsia"/>
                <w:kern w:val="2"/>
                <w:sz w:val="21"/>
                <w:szCs w:val="21"/>
              </w:rPr>
              <w:t xml:space="preserve"> </w:t>
            </w:r>
          </w:p>
          <w:p w14:paraId="6C457F2A">
            <w:pPr>
              <w:autoSpaceDE w:val="0"/>
              <w:autoSpaceDN/>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u w:val="single"/>
              </w:rPr>
              <w:t>（二）开展了我国海上风电领域首次百米桩长的海上现场基桩试验，结合离心模型试验反演分析，揭示了"桩-承台-荷载-海床-风浪流"力学失效机理，提出了海洋软弱土物理力学指标评价方法，建立了高桩高承台基础设计、施工成套技术体系；</w:t>
            </w:r>
            <w:r>
              <w:rPr>
                <w:rFonts w:hint="eastAsia" w:asciiTheme="minorEastAsia" w:hAnsiTheme="minorEastAsia" w:eastAsiaTheme="minorEastAsia" w:cstheme="minorEastAsia"/>
                <w:kern w:val="2"/>
                <w:sz w:val="21"/>
                <w:szCs w:val="21"/>
              </w:rPr>
              <w:t xml:space="preserve"> </w:t>
            </w:r>
          </w:p>
          <w:p w14:paraId="1E23C03B">
            <w:pPr>
              <w:autoSpaceDE w:val="0"/>
              <w:autoSpaceDN/>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u w:val="single"/>
              </w:rPr>
              <w:t>（三）提出了高桩高承台基础全要素监测技术，形成了全寿命长期服役性能监控预警系统解决方案，研发了集约化、智能化、共享化的集控平台，建成浙江省首个海上风电大数据中心，实现了全寿命的感知-诊断-运维。</w:t>
            </w:r>
            <w:r>
              <w:rPr>
                <w:rFonts w:hint="eastAsia" w:asciiTheme="minorEastAsia" w:hAnsiTheme="minorEastAsia" w:eastAsiaTheme="minorEastAsia" w:cstheme="minorEastAsia"/>
                <w:kern w:val="2"/>
                <w:sz w:val="21"/>
                <w:szCs w:val="21"/>
              </w:rPr>
              <w:t xml:space="preserve">  </w:t>
            </w:r>
          </w:p>
          <w:p w14:paraId="7BA7800A">
            <w:pPr>
              <w:autoSpaceDE w:val="0"/>
              <w:autoSpaceDN/>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相关成果纳入国家标准1部和行业标准4部。 </w:t>
            </w:r>
          </w:p>
          <w:p w14:paraId="42F880E9">
            <w:pPr>
              <w:autoSpaceDE w:val="0"/>
              <w:autoSpaceDN/>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成果首先应用并成功建成我国首个强台风、厚淤泥海域风电场“国电舟山普陀6号海上风电场2区工程”，实现了零突破，成果的应用使得单台基础造价节约300万元，63台基础总计节约超1.8亿元，经济效益显著，工程每年上网电量为75338万kWh，每年可节约标煤24万t，减少排放CO</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61万t、SO</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4378t、NO</w:t>
            </w:r>
            <w:r>
              <w:rPr>
                <w:rFonts w:hint="eastAsia" w:asciiTheme="minorEastAsia" w:hAnsiTheme="minorEastAsia" w:eastAsiaTheme="minorEastAsia" w:cstheme="minorEastAsia"/>
                <w:kern w:val="2"/>
                <w:sz w:val="21"/>
                <w:szCs w:val="21"/>
                <w:vertAlign w:val="subscript"/>
              </w:rPr>
              <w:t>2</w:t>
            </w:r>
            <w:r>
              <w:rPr>
                <w:rFonts w:hint="eastAsia" w:asciiTheme="minorEastAsia" w:hAnsiTheme="minorEastAsia" w:eastAsiaTheme="minorEastAsia" w:cstheme="minorEastAsia"/>
                <w:kern w:val="2"/>
                <w:sz w:val="21"/>
                <w:szCs w:val="21"/>
              </w:rPr>
              <w:t>1751t，减少灰渣8.8万t、烟尘2.2万t，节约用水210万m</w:t>
            </w:r>
            <w:r>
              <w:rPr>
                <w:rFonts w:hint="eastAsia" w:asciiTheme="minorEastAsia" w:hAnsiTheme="minorEastAsia" w:eastAsiaTheme="minorEastAsia" w:cstheme="minorEastAsia"/>
                <w:kern w:val="2"/>
                <w:sz w:val="21"/>
                <w:szCs w:val="21"/>
                <w:vertAlign w:val="superscript"/>
              </w:rPr>
              <w:t>3</w:t>
            </w:r>
            <w:r>
              <w:rPr>
                <w:rFonts w:hint="eastAsia" w:asciiTheme="minorEastAsia" w:hAnsiTheme="minorEastAsia" w:eastAsiaTheme="minorEastAsia" w:cstheme="minorEastAsia"/>
                <w:kern w:val="2"/>
                <w:sz w:val="21"/>
                <w:szCs w:val="21"/>
              </w:rPr>
              <w:t xml:space="preserve">，环境效益显著。  </w:t>
            </w:r>
          </w:p>
          <w:p w14:paraId="18FB4A66">
            <w:pPr>
              <w:autoSpaceDE w:val="0"/>
              <w:autoSpaceDN/>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工程首批机组并网已超七年、整体竣工投产已超过五年，运行良好，并成功经受住了“利奇马”等数个超强台风的正面冲击考验，标志着我国研究并掌握了强台风、厚淤泥海域大容量、大规模海上风电建设的领先技术，促进了新装备、新工艺、新技术的研发升级，打造了可复制、可推广、可借鉴的海上风电示范标杆工程，对提高海洋资源开发能力，培育壮大海洋战略性新兴产业，推进我国海上风电建设迈入世界领先水平有重要推动作用，荣获国家优质工程金奖，在CCTV-1、CCTV-2《总师传奇》第一集“追风巨翼”专题报道。 </w:t>
            </w:r>
          </w:p>
          <w:p w14:paraId="6E07D417">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成果推广应用到浙江岱山、嵊泗、嘉兴等海上风电项目中，应用规模超过480余座。新增销售收入合计超过12.3亿元，新增利润超过3.73亿元。 </w:t>
            </w:r>
          </w:p>
        </w:tc>
      </w:tr>
      <w:tr w14:paraId="73B5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2244" w:type="dxa"/>
            <w:vAlign w:val="center"/>
          </w:tcPr>
          <w:p w14:paraId="248F21D6">
            <w:pPr>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客观评价</w:t>
            </w:r>
          </w:p>
        </w:tc>
        <w:tc>
          <w:tcPr>
            <w:tcW w:w="7220" w:type="dxa"/>
            <w:gridSpan w:val="3"/>
            <w:vAlign w:val="center"/>
          </w:tcPr>
          <w:p w14:paraId="59F57DA6">
            <w:p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rPr>
              <w:t>（1）科学技术成果鉴定</w:t>
            </w:r>
            <w:r>
              <w:rPr>
                <w:rFonts w:hint="eastAsia" w:asciiTheme="minorEastAsia" w:hAnsiTheme="minorEastAsia" w:eastAsiaTheme="minorEastAsia" w:cstheme="minorEastAsia"/>
                <w:kern w:val="2"/>
                <w:sz w:val="21"/>
                <w:szCs w:val="21"/>
              </w:rPr>
              <w:t xml:space="preserve">  </w:t>
            </w:r>
          </w:p>
          <w:p w14:paraId="4272A3B4">
            <w:pPr>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根据浙江省技术交易中心出具的由中国工程院李华军院士任鉴定委员会主任的“海上风电场勘测设计施工成套技术与工程应用”科学技术成果鉴定证书（编号：浙技交鉴字[2018]第010号）：第2条：“提出了软弱土中海上风电桩基设计理论。首次研发了…大涌浪海域的高桩高承台基础，编制了我国海上风电勘测设计施工国家和行业标准”；第3条：“本项目技术成果已成功应用于…国电舟山普陀等…海上风电工程，产生了巨大的经济和社会效益”。“鉴定委员会一致认为：本项目研究成果整体达到</w:t>
            </w:r>
            <w:r>
              <w:rPr>
                <w:rFonts w:hint="eastAsia" w:asciiTheme="minorEastAsia" w:hAnsiTheme="minorEastAsia" w:eastAsiaTheme="minorEastAsia" w:cstheme="minorEastAsia"/>
                <w:b/>
                <w:bCs/>
                <w:kern w:val="2"/>
                <w:sz w:val="21"/>
                <w:szCs w:val="21"/>
              </w:rPr>
              <w:t>国际先进水平</w:t>
            </w:r>
            <w:r>
              <w:rPr>
                <w:rFonts w:hint="eastAsia" w:asciiTheme="minorEastAsia" w:hAnsiTheme="minorEastAsia" w:eastAsiaTheme="minorEastAsia" w:cstheme="minorEastAsia"/>
                <w:kern w:val="2"/>
                <w:sz w:val="21"/>
                <w:szCs w:val="21"/>
              </w:rPr>
              <w:t xml:space="preserve">。同意通过鉴定。”  </w:t>
            </w:r>
          </w:p>
          <w:p w14:paraId="6111A1E8">
            <w:pPr>
              <w:ind w:left="0" w:firstLine="48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w:t>
            </w:r>
          </w:p>
          <w:p w14:paraId="67168DE7">
            <w:pPr>
              <w:pStyle w:val="40"/>
              <w:keepNext w:val="0"/>
              <w:keepLines w:val="0"/>
              <w:widowControl w:val="0"/>
              <w:suppressLineNumbers w:val="0"/>
              <w:spacing w:before="0" w:beforeAutospacing="1" w:after="0" w:afterAutospacing="1"/>
              <w:ind w:left="0" w:right="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（2）科技查新报告</w:t>
            </w:r>
            <w:r>
              <w:rPr>
                <w:rFonts w:hint="eastAsia" w:asciiTheme="minorEastAsia" w:hAnsiTheme="minorEastAsia" w:eastAsiaTheme="minorEastAsia" w:cstheme="minorEastAsia"/>
                <w:kern w:val="0"/>
                <w:sz w:val="21"/>
                <w:szCs w:val="21"/>
              </w:rPr>
              <w:t xml:space="preserve">  </w:t>
            </w:r>
          </w:p>
          <w:p w14:paraId="782C4533">
            <w:pPr>
              <w:pStyle w:val="40"/>
              <w:keepNext w:val="0"/>
              <w:keepLines w:val="0"/>
              <w:widowControl w:val="0"/>
              <w:suppressLineNumbers w:val="0"/>
              <w:spacing w:before="0" w:beforeAutospacing="1" w:after="0" w:afterAutospacing="1"/>
              <w:ind w:left="0" w:right="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根据浙江省科技信息研究院（国家一级科技查新单位）的国内外科技查新报告（202333B2100162）： </w:t>
            </w:r>
          </w:p>
          <w:p w14:paraId="0BD837E0">
            <w:p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cstheme="minorEastAsia"/>
                <w:kern w:val="2"/>
                <w:sz w:val="21"/>
                <w:szCs w:val="21"/>
                <w:lang w:val="en-US" w:eastAsia="zh-CN"/>
              </w:rPr>
              <w:t xml:space="preserve"> </w:t>
            </w:r>
            <w:bookmarkStart w:id="0" w:name="_GoBack"/>
            <w:bookmarkEnd w:id="0"/>
            <w:r>
              <w:rPr>
                <w:rFonts w:hint="eastAsia" w:asciiTheme="minorEastAsia" w:hAnsiTheme="minorEastAsia" w:eastAsiaTheme="minorEastAsia" w:cstheme="minorEastAsia"/>
                <w:kern w:val="2"/>
                <w:sz w:val="21"/>
                <w:szCs w:val="21"/>
              </w:rPr>
              <w:t xml:space="preserve">委托项目采用高强预应力锚栓连接塔筒与钢筋混凝土承台。该技术特征，在所检相关文献中未见具体述及。委托项目开展了海上风电项目百米桩长的海上现场基桩试验和超重力离心模型试验，揭示了“桩-承台-荷载-海床-风浪流”力学失效机理，提出了海洋软弱土物理力学指标评价方法。该技术特征，除委托单位已有成果文献公开外，在所检相关文献中未见具体述及。 </w:t>
            </w:r>
          </w:p>
          <w:p w14:paraId="6D13DDA4">
            <w:pPr>
              <w:spacing w:line="400" w:lineRule="exact"/>
              <w:ind w:firstLine="420" w:firstLineChars="200"/>
              <w:rPr>
                <w:rFonts w:hint="eastAsia" w:asciiTheme="minorEastAsia" w:hAnsiTheme="minorEastAsia" w:eastAsiaTheme="minorEastAsia" w:cstheme="minorEastAsia"/>
                <w:sz w:val="21"/>
                <w:szCs w:val="21"/>
              </w:rPr>
            </w:pPr>
          </w:p>
        </w:tc>
      </w:tr>
      <w:tr w14:paraId="34E2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restart"/>
            <w:vAlign w:val="center"/>
          </w:tcPr>
          <w:p w14:paraId="51AAA415">
            <w:pPr>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主要知识产权目录</w:t>
            </w:r>
          </w:p>
        </w:tc>
        <w:tc>
          <w:tcPr>
            <w:tcW w:w="7220" w:type="dxa"/>
            <w:gridSpan w:val="3"/>
            <w:vAlign w:val="center"/>
          </w:tcPr>
          <w:p w14:paraId="76F3C7DA">
            <w:pPr>
              <w:pStyle w:val="4"/>
              <w:spacing w:line="240" w:lineRule="auto"/>
              <w:ind w:firstLine="0" w:firstLineChars="0"/>
              <w:jc w:val="left"/>
              <w:rPr>
                <w:rFonts w:hint="eastAsia" w:eastAsia="宋体" w:asciiTheme="minorEastAsia" w:hAnsiTheme="minorEastAsia" w:cstheme="minorEastAsia"/>
                <w:color w:val="000000"/>
                <w:sz w:val="21"/>
                <w:szCs w:val="21"/>
                <w:lang w:eastAsia="zh-CN"/>
              </w:rPr>
            </w:pPr>
            <w:r>
              <w:rPr>
                <w:rFonts w:hint="eastAsia" w:ascii="宋体" w:hAnsi="宋体" w:cs="宋体"/>
                <w:color w:val="000000"/>
                <w:kern w:val="2"/>
                <w:sz w:val="21"/>
                <w:szCs w:val="21"/>
                <w:lang w:eastAsia="zh-CN"/>
              </w:rPr>
              <w:t>规范：</w:t>
            </w:r>
            <w:r>
              <w:rPr>
                <w:rFonts w:hint="eastAsia" w:ascii="宋体" w:hAnsi="宋体" w:eastAsia="宋体" w:cs="宋体"/>
                <w:color w:val="000000"/>
                <w:kern w:val="2"/>
                <w:sz w:val="21"/>
                <w:szCs w:val="21"/>
              </w:rPr>
              <w:t>海上风电场工程建（构）筑物荷载规范</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NB/T 11084</w:t>
            </w:r>
          </w:p>
        </w:tc>
      </w:tr>
      <w:tr w14:paraId="73E5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4361B882">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173BCAE6">
            <w:pPr>
              <w:pStyle w:val="4"/>
              <w:spacing w:line="240" w:lineRule="auto"/>
              <w:ind w:firstLine="0" w:firstLineChars="0"/>
              <w:jc w:val="left"/>
              <w:rPr>
                <w:rFonts w:hint="eastAsia" w:eastAsia="宋体" w:asciiTheme="minorEastAsia" w:hAnsiTheme="minorEastAsia" w:cstheme="minorEastAsia"/>
                <w:color w:val="000000"/>
                <w:sz w:val="21"/>
                <w:szCs w:val="21"/>
                <w:lang w:eastAsia="zh-CN"/>
              </w:rPr>
            </w:pPr>
            <w:r>
              <w:rPr>
                <w:rFonts w:hint="eastAsia" w:ascii="宋体" w:hAnsi="宋体" w:cs="宋体"/>
                <w:color w:val="000000"/>
                <w:kern w:val="2"/>
                <w:sz w:val="21"/>
                <w:szCs w:val="21"/>
                <w:lang w:eastAsia="zh-CN"/>
              </w:rPr>
              <w:t>规范：</w:t>
            </w:r>
            <w:r>
              <w:rPr>
                <w:rFonts w:hint="eastAsia" w:ascii="宋体" w:hAnsi="宋体" w:eastAsia="宋体" w:cs="宋体"/>
                <w:color w:val="000000"/>
                <w:kern w:val="2"/>
                <w:sz w:val="21"/>
                <w:szCs w:val="21"/>
              </w:rPr>
              <w:t>海上风电场工程结构安全监测建设规范</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NB/T 11085</w:t>
            </w:r>
          </w:p>
        </w:tc>
      </w:tr>
      <w:tr w14:paraId="65AF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4D67000D">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7A44A225">
            <w:pPr>
              <w:pStyle w:val="4"/>
              <w:spacing w:line="240" w:lineRule="auto"/>
              <w:ind w:firstLine="0" w:firstLineChars="0"/>
              <w:jc w:val="left"/>
              <w:rPr>
                <w:rFonts w:hint="eastAsia" w:eastAsia="宋体" w:asciiTheme="minorEastAsia" w:hAnsiTheme="minorEastAsia" w:cstheme="minorEastAsia"/>
                <w:color w:val="000000"/>
                <w:sz w:val="21"/>
                <w:szCs w:val="21"/>
                <w:lang w:eastAsia="zh-CN"/>
              </w:rPr>
            </w:pPr>
            <w:r>
              <w:rPr>
                <w:rFonts w:hint="eastAsia" w:ascii="宋体" w:hAnsi="宋体" w:cs="宋体"/>
                <w:color w:val="000000"/>
                <w:kern w:val="2"/>
                <w:sz w:val="21"/>
                <w:szCs w:val="21"/>
                <w:lang w:eastAsia="zh-CN"/>
              </w:rPr>
              <w:t>标准：</w:t>
            </w:r>
            <w:r>
              <w:rPr>
                <w:rFonts w:hint="eastAsia" w:ascii="宋体" w:hAnsi="宋体" w:eastAsia="宋体" w:cs="宋体"/>
                <w:color w:val="000000"/>
                <w:kern w:val="2"/>
                <w:sz w:val="21"/>
                <w:szCs w:val="21"/>
              </w:rPr>
              <w:t>海上风电场土建工程施工质量检验与评定标准</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NB/T 11655</w:t>
            </w:r>
          </w:p>
        </w:tc>
      </w:tr>
      <w:tr w14:paraId="19B3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6049A8BD">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464A5325">
            <w:pPr>
              <w:pStyle w:val="4"/>
              <w:spacing w:line="240" w:lineRule="auto"/>
              <w:ind w:firstLine="0" w:firstLineChars="0"/>
              <w:jc w:val="left"/>
              <w:rPr>
                <w:rFonts w:hint="eastAsia" w:eastAsia="宋体" w:asciiTheme="minorEastAsia" w:hAnsiTheme="minorEastAsia" w:cstheme="minorEastAsia"/>
                <w:color w:val="000000"/>
                <w:sz w:val="21"/>
                <w:szCs w:val="21"/>
                <w:lang w:eastAsia="zh-CN"/>
              </w:rPr>
            </w:pPr>
            <w:r>
              <w:rPr>
                <w:rFonts w:hint="eastAsia" w:ascii="宋体" w:hAnsi="宋体" w:cs="宋体"/>
                <w:color w:val="000000"/>
                <w:kern w:val="2"/>
                <w:sz w:val="21"/>
                <w:szCs w:val="21"/>
                <w:lang w:eastAsia="zh-CN"/>
              </w:rPr>
              <w:t>发明专利：</w:t>
            </w:r>
            <w:r>
              <w:rPr>
                <w:rFonts w:hint="eastAsia" w:ascii="宋体" w:hAnsi="宋体" w:eastAsia="宋体" w:cs="宋体"/>
                <w:color w:val="000000"/>
                <w:kern w:val="2"/>
                <w:sz w:val="21"/>
                <w:szCs w:val="21"/>
              </w:rPr>
              <w:t>海上风机大直径单桩基础及其施工方法</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ZL 2013 1 0144668.9</w:t>
            </w:r>
          </w:p>
        </w:tc>
      </w:tr>
      <w:tr w14:paraId="4B4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5577C7E3">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35AD5E8E">
            <w:pPr>
              <w:pStyle w:val="4"/>
              <w:spacing w:line="240" w:lineRule="auto"/>
              <w:ind w:firstLine="0" w:firstLineChars="0"/>
              <w:jc w:val="left"/>
              <w:rPr>
                <w:rFonts w:hint="eastAsia" w:eastAsia="宋体" w:asciiTheme="minorEastAsia" w:hAnsiTheme="minorEastAsia" w:cstheme="minorEastAsia"/>
                <w:color w:val="000000"/>
                <w:sz w:val="21"/>
                <w:szCs w:val="21"/>
                <w:lang w:eastAsia="zh-CN"/>
              </w:rPr>
            </w:pPr>
            <w:r>
              <w:rPr>
                <w:rFonts w:hint="eastAsia" w:ascii="宋体" w:hAnsi="宋体" w:cs="宋体"/>
                <w:color w:val="000000"/>
                <w:kern w:val="2"/>
                <w:sz w:val="21"/>
                <w:szCs w:val="21"/>
                <w:lang w:eastAsia="zh-CN"/>
              </w:rPr>
              <w:t>发明专利：</w:t>
            </w:r>
            <w:r>
              <w:rPr>
                <w:rFonts w:hint="eastAsia" w:ascii="宋体" w:hAnsi="宋体" w:eastAsia="宋体" w:cs="宋体"/>
                <w:color w:val="000000"/>
                <w:kern w:val="2"/>
                <w:sz w:val="21"/>
                <w:szCs w:val="21"/>
              </w:rPr>
              <w:t>Wind Turbine Generator foundation with pressure-dispersive high strength pre-stressed anchors</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US9359741B2</w:t>
            </w:r>
          </w:p>
        </w:tc>
      </w:tr>
      <w:tr w14:paraId="381F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18CB193C">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499E38AC">
            <w:pPr>
              <w:pStyle w:val="4"/>
              <w:spacing w:line="240" w:lineRule="auto"/>
              <w:ind w:firstLine="0" w:firstLineChars="0"/>
              <w:jc w:val="left"/>
              <w:rPr>
                <w:rFonts w:hint="eastAsia" w:eastAsia="宋体" w:asciiTheme="minorEastAsia" w:hAnsiTheme="minorEastAsia" w:cstheme="minorEastAsia"/>
                <w:color w:val="000000"/>
                <w:sz w:val="21"/>
                <w:szCs w:val="21"/>
                <w:lang w:eastAsia="zh-CN"/>
              </w:rPr>
            </w:pPr>
            <w:r>
              <w:rPr>
                <w:rFonts w:hint="eastAsia" w:ascii="宋体" w:hAnsi="宋体" w:cs="宋体"/>
                <w:color w:val="000000"/>
                <w:kern w:val="2"/>
                <w:sz w:val="21"/>
                <w:szCs w:val="21"/>
                <w:lang w:eastAsia="zh-CN"/>
              </w:rPr>
              <w:t>发明专利：</w:t>
            </w:r>
            <w:r>
              <w:rPr>
                <w:rFonts w:hint="eastAsia" w:ascii="宋体" w:hAnsi="宋体" w:eastAsia="宋体" w:cs="宋体"/>
                <w:color w:val="000000"/>
                <w:kern w:val="2"/>
                <w:sz w:val="21"/>
                <w:szCs w:val="21"/>
              </w:rPr>
              <w:t>一种适用于浅基岩地质条件的套筒组合式大直径单桩基础</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ZL 2018 1 0519790.2</w:t>
            </w:r>
          </w:p>
        </w:tc>
      </w:tr>
      <w:tr w14:paraId="6413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2620EE4B">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17E7EA99">
            <w:pPr>
              <w:pStyle w:val="4"/>
              <w:spacing w:line="240" w:lineRule="auto"/>
              <w:ind w:firstLine="0" w:firstLineChars="0"/>
              <w:jc w:val="left"/>
              <w:rPr>
                <w:rFonts w:hint="eastAsia" w:eastAsia="宋体" w:asciiTheme="minorEastAsia" w:hAnsiTheme="minorEastAsia" w:cstheme="minorEastAsia"/>
                <w:color w:val="000000"/>
                <w:sz w:val="21"/>
                <w:szCs w:val="21"/>
                <w:lang w:eastAsia="zh-CN"/>
              </w:rPr>
            </w:pPr>
            <w:r>
              <w:rPr>
                <w:rFonts w:hint="eastAsia" w:ascii="宋体" w:hAnsi="宋体" w:cs="宋体"/>
                <w:color w:val="000000"/>
                <w:kern w:val="2"/>
                <w:sz w:val="21"/>
                <w:szCs w:val="21"/>
                <w:lang w:eastAsia="zh-CN"/>
              </w:rPr>
              <w:t>发明专利：</w:t>
            </w:r>
            <w:r>
              <w:rPr>
                <w:rFonts w:hint="eastAsia" w:ascii="宋体" w:hAnsi="宋体" w:eastAsia="宋体" w:cs="宋体"/>
                <w:color w:val="000000"/>
                <w:kern w:val="2"/>
                <w:sz w:val="21"/>
                <w:szCs w:val="21"/>
              </w:rPr>
              <w:t>具有压力分散型布置高强预应力锚杆（索）的风机基础</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ZL 2014 1 0290326.2</w:t>
            </w:r>
          </w:p>
        </w:tc>
      </w:tr>
      <w:tr w14:paraId="3102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44D8F005">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68A33933">
            <w:pPr>
              <w:pStyle w:val="4"/>
              <w:spacing w:line="240" w:lineRule="auto"/>
              <w:ind w:firstLine="0" w:firstLineChars="0"/>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rPr>
              <w:t>发明专利</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Grouting cabin structure of a grouted connection in a foundation of an offshore wind turbine generator</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US8757933B2</w:t>
            </w:r>
          </w:p>
        </w:tc>
      </w:tr>
      <w:tr w14:paraId="2678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7D754530">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0C2A1651">
            <w:pPr>
              <w:pStyle w:val="4"/>
              <w:spacing w:line="240" w:lineRule="auto"/>
              <w:ind w:firstLine="0" w:firstLineChars="0"/>
              <w:jc w:val="left"/>
              <w:rPr>
                <w:rFonts w:hint="eastAsia" w:ascii="宋体" w:hAnsi="宋体" w:eastAsia="宋体" w:cs="宋体"/>
                <w:color w:val="000000"/>
                <w:kern w:val="2"/>
                <w:sz w:val="21"/>
                <w:szCs w:val="21"/>
                <w:lang w:eastAsia="zh-CN"/>
              </w:rPr>
            </w:pPr>
            <w:r>
              <w:rPr>
                <w:rFonts w:hint="eastAsia" w:ascii="宋体" w:hAnsi="宋体" w:cs="宋体"/>
                <w:color w:val="000000"/>
                <w:kern w:val="2"/>
                <w:sz w:val="21"/>
                <w:szCs w:val="21"/>
                <w:lang w:eastAsia="zh-CN"/>
              </w:rPr>
              <w:t>发明专利：</w:t>
            </w:r>
            <w:r>
              <w:rPr>
                <w:rFonts w:hint="eastAsia" w:ascii="宋体" w:hAnsi="宋体" w:eastAsia="宋体" w:cs="宋体"/>
                <w:color w:val="000000"/>
                <w:kern w:val="2"/>
                <w:sz w:val="21"/>
                <w:szCs w:val="21"/>
              </w:rPr>
              <w:t xml:space="preserve">一种带稳定翼的海上风力发电机单桩基础结构 </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ZL 2010 1 0620952.5</w:t>
            </w:r>
          </w:p>
        </w:tc>
      </w:tr>
      <w:tr w14:paraId="1BEE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4" w:type="dxa"/>
            <w:vMerge w:val="continue"/>
            <w:vAlign w:val="center"/>
          </w:tcPr>
          <w:p w14:paraId="236DF704">
            <w:pPr>
              <w:snapToGrid w:val="0"/>
              <w:jc w:val="center"/>
              <w:rPr>
                <w:rFonts w:hint="eastAsia" w:asciiTheme="minorEastAsia" w:hAnsiTheme="minorEastAsia" w:eastAsiaTheme="minorEastAsia" w:cstheme="minorEastAsia"/>
                <w:b/>
                <w:bCs/>
                <w:sz w:val="21"/>
                <w:szCs w:val="21"/>
              </w:rPr>
            </w:pPr>
          </w:p>
        </w:tc>
        <w:tc>
          <w:tcPr>
            <w:tcW w:w="7220" w:type="dxa"/>
            <w:gridSpan w:val="3"/>
            <w:vAlign w:val="center"/>
          </w:tcPr>
          <w:p w14:paraId="794025FC">
            <w:pPr>
              <w:pStyle w:val="4"/>
              <w:spacing w:line="240" w:lineRule="auto"/>
              <w:ind w:firstLine="0" w:firstLineChars="0"/>
              <w:jc w:val="left"/>
              <w:rPr>
                <w:rFonts w:hint="eastAsia" w:ascii="宋体" w:hAnsi="宋体" w:eastAsia="宋体" w:cs="宋体"/>
                <w:color w:val="000000"/>
                <w:kern w:val="2"/>
                <w:sz w:val="21"/>
                <w:szCs w:val="21"/>
                <w:lang w:eastAsia="zh-CN"/>
              </w:rPr>
            </w:pPr>
            <w:r>
              <w:rPr>
                <w:rFonts w:hint="eastAsia" w:ascii="宋体" w:hAnsi="宋体" w:cs="宋体"/>
                <w:color w:val="000000"/>
                <w:kern w:val="2"/>
                <w:sz w:val="21"/>
                <w:szCs w:val="21"/>
                <w:lang w:eastAsia="zh-CN"/>
              </w:rPr>
              <w:t>规范：</w:t>
            </w:r>
            <w:r>
              <w:rPr>
                <w:rFonts w:hint="eastAsia" w:ascii="宋体" w:hAnsi="宋体" w:eastAsia="宋体" w:cs="宋体"/>
                <w:color w:val="000000"/>
                <w:kern w:val="2"/>
                <w:sz w:val="21"/>
                <w:szCs w:val="21"/>
              </w:rPr>
              <w:t>海上风电场工程风电机组复合筒型基础技术规范</w:t>
            </w:r>
            <w:r>
              <w:rPr>
                <w:rFonts w:hint="eastAsia" w:ascii="宋体" w:hAnsi="宋体" w:cs="宋体"/>
                <w:color w:val="000000"/>
                <w:kern w:val="2"/>
                <w:sz w:val="21"/>
                <w:szCs w:val="21"/>
                <w:lang w:eastAsia="zh-CN"/>
              </w:rPr>
              <w:t>，</w:t>
            </w:r>
            <w:r>
              <w:rPr>
                <w:rFonts w:hint="eastAsia" w:ascii="宋体" w:hAnsi="宋体" w:eastAsia="宋体" w:cs="宋体"/>
                <w:color w:val="000000"/>
                <w:kern w:val="2"/>
                <w:sz w:val="21"/>
                <w:szCs w:val="21"/>
              </w:rPr>
              <w:t>NB/T 11086</w:t>
            </w:r>
          </w:p>
        </w:tc>
      </w:tr>
    </w:tbl>
    <w:p w14:paraId="21212BE0">
      <w:pPr>
        <w:widowControl/>
        <w:jc w:val="left"/>
        <w:rPr>
          <w:rFonts w:hint="eastAsia" w:ascii="仿宋" w:hAnsi="仿宋" w:eastAsia="仿宋" w:cs="仿宋"/>
          <w:sz w:val="21"/>
          <w:szCs w:val="21"/>
        </w:rPr>
      </w:pPr>
    </w:p>
    <w:sectPr>
      <w:footerReference r:id="rId3" w:type="default"/>
      <w:pgSz w:w="11906" w:h="16838"/>
      <w:pgMar w:top="1985" w:right="1134" w:bottom="1440"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5899">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0" t="0" r="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3FFFC0D3">
                          <w:pPr>
                            <w:pStyle w:val="7"/>
                            <w:rPr>
                              <w:rStyle w:val="14"/>
                              <w:rFonts w:ascii="宋体" w:hAnsi="宋体" w:cs="宋体"/>
                              <w:sz w:val="28"/>
                              <w:szCs w:val="28"/>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- 1 -</w:t>
                          </w:r>
                          <w:r>
                            <w:rPr>
                              <w:rFonts w:hint="eastAsia" w:ascii="宋体" w:hAnsi="宋体" w:cs="宋体"/>
                              <w:sz w:val="28"/>
                              <w:szCs w:val="28"/>
                            </w:rPr>
                            <w:fldChar w:fldCharType="end"/>
                          </w:r>
                        </w:p>
                        <w:p w14:paraId="05BE8CF5"/>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96CNCCwIAAAIEAAAOAAAAZHJzL2Uyb0RvYy54bWytU0uOEzEQ3SNx&#10;B8t70vlMYNRKZzRMFIQ0fKSBAzhud9qi7bLKTrrDAeAGrGbDnnPlHJTd6TAMm1mwscp2+dV7r8qL&#10;q840bK/Qa7AFn4zGnCkrodR2W/DPn9YvLjnzQdhSNGBVwQ/K86vl82eL1uVqCjU0pUJGINbnrSt4&#10;HYLLs8zLWhnhR+CUpcsK0IhAW9xmJYqW0E2TTcfj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lwPrsYz+acSbqaXV5MXs1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L3oI0ILAgAAAgQAAA4AAAAAAAAAAQAgAAAAIAEA&#10;AGRycy9lMm9Eb2MueG1sUEsFBgAAAAAGAAYAWQEAAJ0FAAAAAA==&#10;">
              <v:fill on="f" focussize="0,0"/>
              <v:stroke on="f"/>
              <v:imagedata o:title=""/>
              <o:lock v:ext="edit" aspectratio="f"/>
              <v:textbox inset="0mm,0mm,0mm,0mm" style="mso-fit-shape-to-text:t;">
                <w:txbxContent>
                  <w:p w14:paraId="3FFFC0D3">
                    <w:pPr>
                      <w:pStyle w:val="7"/>
                      <w:rPr>
                        <w:rStyle w:val="14"/>
                        <w:rFonts w:ascii="宋体" w:hAnsi="宋体" w:cs="宋体"/>
                        <w:sz w:val="28"/>
                        <w:szCs w:val="28"/>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- 1 -</w:t>
                    </w:r>
                    <w:r>
                      <w:rPr>
                        <w:rFonts w:hint="eastAsia" w:ascii="宋体" w:hAnsi="宋体" w:cs="宋体"/>
                        <w:sz w:val="28"/>
                        <w:szCs w:val="28"/>
                      </w:rPr>
                      <w:fldChar w:fldCharType="end"/>
                    </w:r>
                  </w:p>
                  <w:p w14:paraId="05BE8CF5"/>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5A"/>
    <w:rsid w:val="00003708"/>
    <w:rsid w:val="00036537"/>
    <w:rsid w:val="00080269"/>
    <w:rsid w:val="000959FC"/>
    <w:rsid w:val="00095A71"/>
    <w:rsid w:val="000B1C55"/>
    <w:rsid w:val="000C2908"/>
    <w:rsid w:val="000C2D2F"/>
    <w:rsid w:val="000D0155"/>
    <w:rsid w:val="000E5230"/>
    <w:rsid w:val="000E5B9A"/>
    <w:rsid w:val="000E640E"/>
    <w:rsid w:val="000F02CD"/>
    <w:rsid w:val="000F1EF7"/>
    <w:rsid w:val="001000CF"/>
    <w:rsid w:val="001023DA"/>
    <w:rsid w:val="00105906"/>
    <w:rsid w:val="00122C7E"/>
    <w:rsid w:val="001240B6"/>
    <w:rsid w:val="001241D6"/>
    <w:rsid w:val="001342E5"/>
    <w:rsid w:val="00145C70"/>
    <w:rsid w:val="00155455"/>
    <w:rsid w:val="001605A3"/>
    <w:rsid w:val="001749C9"/>
    <w:rsid w:val="001A2255"/>
    <w:rsid w:val="001C4FF0"/>
    <w:rsid w:val="001E5C71"/>
    <w:rsid w:val="001F4357"/>
    <w:rsid w:val="00225FBE"/>
    <w:rsid w:val="00232232"/>
    <w:rsid w:val="00271925"/>
    <w:rsid w:val="0027498D"/>
    <w:rsid w:val="002A1895"/>
    <w:rsid w:val="002A7752"/>
    <w:rsid w:val="002B55AD"/>
    <w:rsid w:val="002C7984"/>
    <w:rsid w:val="002D495A"/>
    <w:rsid w:val="002D5360"/>
    <w:rsid w:val="002D5421"/>
    <w:rsid w:val="002E11FC"/>
    <w:rsid w:val="002F2BA0"/>
    <w:rsid w:val="002F2E35"/>
    <w:rsid w:val="002F4BBF"/>
    <w:rsid w:val="0030207A"/>
    <w:rsid w:val="00304317"/>
    <w:rsid w:val="00324B95"/>
    <w:rsid w:val="00335243"/>
    <w:rsid w:val="00335CF6"/>
    <w:rsid w:val="003543E2"/>
    <w:rsid w:val="00355235"/>
    <w:rsid w:val="003618CB"/>
    <w:rsid w:val="00363B58"/>
    <w:rsid w:val="00363E73"/>
    <w:rsid w:val="003650B7"/>
    <w:rsid w:val="003A7B7F"/>
    <w:rsid w:val="003B1236"/>
    <w:rsid w:val="003C2D63"/>
    <w:rsid w:val="003D2823"/>
    <w:rsid w:val="0040006E"/>
    <w:rsid w:val="00405E74"/>
    <w:rsid w:val="0041300E"/>
    <w:rsid w:val="00424599"/>
    <w:rsid w:val="00424827"/>
    <w:rsid w:val="00430699"/>
    <w:rsid w:val="00431E48"/>
    <w:rsid w:val="00433CBE"/>
    <w:rsid w:val="00433E57"/>
    <w:rsid w:val="0044494F"/>
    <w:rsid w:val="00460169"/>
    <w:rsid w:val="00463562"/>
    <w:rsid w:val="00482F98"/>
    <w:rsid w:val="00496B4B"/>
    <w:rsid w:val="004A648A"/>
    <w:rsid w:val="004E7888"/>
    <w:rsid w:val="004F4CBD"/>
    <w:rsid w:val="005039CE"/>
    <w:rsid w:val="00511A13"/>
    <w:rsid w:val="00553AB5"/>
    <w:rsid w:val="00587609"/>
    <w:rsid w:val="0059566B"/>
    <w:rsid w:val="005D431C"/>
    <w:rsid w:val="005E415D"/>
    <w:rsid w:val="005F682D"/>
    <w:rsid w:val="00615181"/>
    <w:rsid w:val="006300A7"/>
    <w:rsid w:val="00632731"/>
    <w:rsid w:val="00644642"/>
    <w:rsid w:val="00655D5D"/>
    <w:rsid w:val="00664CFA"/>
    <w:rsid w:val="0067381B"/>
    <w:rsid w:val="00681E39"/>
    <w:rsid w:val="006A0A3B"/>
    <w:rsid w:val="006B2D1F"/>
    <w:rsid w:val="006E424B"/>
    <w:rsid w:val="007006CB"/>
    <w:rsid w:val="0070314F"/>
    <w:rsid w:val="0070359F"/>
    <w:rsid w:val="00737507"/>
    <w:rsid w:val="007440BD"/>
    <w:rsid w:val="00745B07"/>
    <w:rsid w:val="00750A5F"/>
    <w:rsid w:val="00760129"/>
    <w:rsid w:val="00764E0E"/>
    <w:rsid w:val="00771B00"/>
    <w:rsid w:val="007A3F49"/>
    <w:rsid w:val="007C3F02"/>
    <w:rsid w:val="00833442"/>
    <w:rsid w:val="00855137"/>
    <w:rsid w:val="00862230"/>
    <w:rsid w:val="00867DDF"/>
    <w:rsid w:val="008C4D62"/>
    <w:rsid w:val="008E103B"/>
    <w:rsid w:val="008E2821"/>
    <w:rsid w:val="008E51C8"/>
    <w:rsid w:val="008E5FBB"/>
    <w:rsid w:val="008E62F7"/>
    <w:rsid w:val="009008EC"/>
    <w:rsid w:val="0090784A"/>
    <w:rsid w:val="00917134"/>
    <w:rsid w:val="009244BA"/>
    <w:rsid w:val="00971049"/>
    <w:rsid w:val="009A152B"/>
    <w:rsid w:val="009A5C88"/>
    <w:rsid w:val="009A7D7D"/>
    <w:rsid w:val="009D17A3"/>
    <w:rsid w:val="009D2684"/>
    <w:rsid w:val="00A02EA1"/>
    <w:rsid w:val="00A03867"/>
    <w:rsid w:val="00A1386F"/>
    <w:rsid w:val="00A252D5"/>
    <w:rsid w:val="00A274C7"/>
    <w:rsid w:val="00A33ECC"/>
    <w:rsid w:val="00A57C25"/>
    <w:rsid w:val="00A633AF"/>
    <w:rsid w:val="00A65E1C"/>
    <w:rsid w:val="00A678D4"/>
    <w:rsid w:val="00A67E32"/>
    <w:rsid w:val="00A97562"/>
    <w:rsid w:val="00AC170F"/>
    <w:rsid w:val="00AD2762"/>
    <w:rsid w:val="00B0275B"/>
    <w:rsid w:val="00B240A2"/>
    <w:rsid w:val="00B272A4"/>
    <w:rsid w:val="00B42C5A"/>
    <w:rsid w:val="00B51B49"/>
    <w:rsid w:val="00B552F0"/>
    <w:rsid w:val="00B635BB"/>
    <w:rsid w:val="00B74063"/>
    <w:rsid w:val="00BB0B3C"/>
    <w:rsid w:val="00BE1749"/>
    <w:rsid w:val="00C01722"/>
    <w:rsid w:val="00C1503B"/>
    <w:rsid w:val="00C20356"/>
    <w:rsid w:val="00C257C6"/>
    <w:rsid w:val="00C32665"/>
    <w:rsid w:val="00C44DFC"/>
    <w:rsid w:val="00C53039"/>
    <w:rsid w:val="00C55FF8"/>
    <w:rsid w:val="00C57970"/>
    <w:rsid w:val="00C73ADE"/>
    <w:rsid w:val="00C75EAA"/>
    <w:rsid w:val="00C820B6"/>
    <w:rsid w:val="00C843BC"/>
    <w:rsid w:val="00CB39F1"/>
    <w:rsid w:val="00CB5904"/>
    <w:rsid w:val="00CC7207"/>
    <w:rsid w:val="00CD164C"/>
    <w:rsid w:val="00CD72C8"/>
    <w:rsid w:val="00CE1A19"/>
    <w:rsid w:val="00CE2CC4"/>
    <w:rsid w:val="00CF5837"/>
    <w:rsid w:val="00CF7CE1"/>
    <w:rsid w:val="00D26ED4"/>
    <w:rsid w:val="00D355DD"/>
    <w:rsid w:val="00D45130"/>
    <w:rsid w:val="00D62384"/>
    <w:rsid w:val="00D751DA"/>
    <w:rsid w:val="00D87781"/>
    <w:rsid w:val="00DD3ED9"/>
    <w:rsid w:val="00DD6041"/>
    <w:rsid w:val="00DE359E"/>
    <w:rsid w:val="00DF639F"/>
    <w:rsid w:val="00E05A72"/>
    <w:rsid w:val="00E14A76"/>
    <w:rsid w:val="00E30997"/>
    <w:rsid w:val="00E31DE2"/>
    <w:rsid w:val="00E32327"/>
    <w:rsid w:val="00E4298F"/>
    <w:rsid w:val="00E53BB5"/>
    <w:rsid w:val="00E67C35"/>
    <w:rsid w:val="00E720A6"/>
    <w:rsid w:val="00E872E7"/>
    <w:rsid w:val="00EE0600"/>
    <w:rsid w:val="00EF6A6C"/>
    <w:rsid w:val="00F22718"/>
    <w:rsid w:val="00F25AED"/>
    <w:rsid w:val="00F3258A"/>
    <w:rsid w:val="00F356EB"/>
    <w:rsid w:val="00F37536"/>
    <w:rsid w:val="00F44EAC"/>
    <w:rsid w:val="00F476D9"/>
    <w:rsid w:val="00F61182"/>
    <w:rsid w:val="00F95726"/>
    <w:rsid w:val="00F95AF7"/>
    <w:rsid w:val="00FB5165"/>
    <w:rsid w:val="00FE2312"/>
    <w:rsid w:val="00FF373A"/>
    <w:rsid w:val="018B270B"/>
    <w:rsid w:val="1C8B0931"/>
    <w:rsid w:val="2197632B"/>
    <w:rsid w:val="26A06E29"/>
    <w:rsid w:val="3AAF6E41"/>
    <w:rsid w:val="64721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jc w:val="center"/>
      <w:outlineLvl w:val="0"/>
    </w:pPr>
    <w:rPr>
      <w:rFonts w:ascii="仿宋_GB2312" w:hAnsi="Times New Roman" w:eastAsia="仿宋_GB2312" w:cs="Times New Roman"/>
      <w:kern w:val="0"/>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unhideWhenUsed/>
    <w:qFormat/>
    <w:uiPriority w:val="99"/>
    <w:pPr>
      <w:jc w:val="left"/>
    </w:pPr>
  </w:style>
  <w:style w:type="paragraph" w:styleId="4">
    <w:name w:val="Plain Text"/>
    <w:basedOn w:val="1"/>
    <w:link w:val="32"/>
    <w:qFormat/>
    <w:uiPriority w:val="0"/>
    <w:pPr>
      <w:spacing w:line="360" w:lineRule="auto"/>
      <w:ind w:firstLine="480" w:firstLineChars="200"/>
    </w:pPr>
    <w:rPr>
      <w:rFonts w:ascii="仿宋_GB2312" w:hAnsi="Times New Roman" w:eastAsia="宋体" w:cs="Times New Roman"/>
      <w:sz w:val="24"/>
      <w:szCs w:val="24"/>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5"/>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1"/>
    <w:unhideWhenUsed/>
    <w:qFormat/>
    <w:uiPriority w:val="99"/>
    <w:rPr>
      <w:b/>
      <w:bCs/>
      <w:szCs w:val="24"/>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unhideWhenUsed/>
    <w:qFormat/>
    <w:uiPriority w:val="99"/>
    <w:rPr>
      <w:sz w:val="21"/>
      <w:szCs w:val="21"/>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日期 Char"/>
    <w:basedOn w:val="13"/>
    <w:link w:val="5"/>
    <w:qFormat/>
    <w:uiPriority w:val="0"/>
  </w:style>
  <w:style w:type="character" w:customStyle="1" w:styleId="20">
    <w:name w:val="标题 1 Char"/>
    <w:basedOn w:val="13"/>
    <w:qFormat/>
    <w:uiPriority w:val="9"/>
    <w:rPr>
      <w:b/>
      <w:bCs/>
      <w:kern w:val="44"/>
      <w:sz w:val="44"/>
      <w:szCs w:val="44"/>
    </w:rPr>
  </w:style>
  <w:style w:type="character" w:customStyle="1" w:styleId="21">
    <w:name w:val="批注主题 Char1"/>
    <w:link w:val="10"/>
    <w:qFormat/>
    <w:uiPriority w:val="99"/>
    <w:rPr>
      <w:b/>
      <w:bCs/>
      <w:szCs w:val="24"/>
    </w:rPr>
  </w:style>
  <w:style w:type="character" w:customStyle="1" w:styleId="22">
    <w:name w:val="页眉 字符"/>
    <w:qFormat/>
    <w:uiPriority w:val="0"/>
    <w:rPr>
      <w:sz w:val="18"/>
      <w:szCs w:val="18"/>
    </w:rPr>
  </w:style>
  <w:style w:type="character" w:customStyle="1" w:styleId="23">
    <w:name w:val="页脚 字符"/>
    <w:qFormat/>
    <w:uiPriority w:val="99"/>
    <w:rPr>
      <w:sz w:val="18"/>
      <w:szCs w:val="18"/>
    </w:rPr>
  </w:style>
  <w:style w:type="character" w:customStyle="1" w:styleId="24">
    <w:name w:val="标题 1 Char1"/>
    <w:link w:val="2"/>
    <w:qFormat/>
    <w:uiPriority w:val="0"/>
    <w:rPr>
      <w:rFonts w:ascii="仿宋_GB2312" w:hAnsi="Times New Roman" w:eastAsia="仿宋_GB2312" w:cs="Times New Roman"/>
      <w:kern w:val="0"/>
      <w:sz w:val="28"/>
      <w:szCs w:val="20"/>
    </w:rPr>
  </w:style>
  <w:style w:type="character" w:customStyle="1" w:styleId="25">
    <w:name w:val="批注框文本 Char1"/>
    <w:link w:val="6"/>
    <w:qFormat/>
    <w:uiPriority w:val="99"/>
    <w:rPr>
      <w:sz w:val="18"/>
      <w:szCs w:val="18"/>
    </w:rPr>
  </w:style>
  <w:style w:type="character" w:customStyle="1" w:styleId="26">
    <w:name w:val="批注文字 字符"/>
    <w:semiHidden/>
    <w:qFormat/>
    <w:uiPriority w:val="99"/>
    <w:rPr>
      <w:kern w:val="2"/>
      <w:sz w:val="21"/>
      <w:szCs w:val="24"/>
    </w:rPr>
  </w:style>
  <w:style w:type="character" w:customStyle="1" w:styleId="27">
    <w:name w:val="font11"/>
    <w:qFormat/>
    <w:uiPriority w:val="0"/>
    <w:rPr>
      <w:rFonts w:hint="eastAsia" w:ascii="宋体" w:hAnsi="宋体" w:eastAsia="宋体" w:cs="宋体"/>
      <w:b/>
      <w:color w:val="000000"/>
      <w:sz w:val="32"/>
      <w:szCs w:val="32"/>
      <w:u w:val="none"/>
    </w:rPr>
  </w:style>
  <w:style w:type="character" w:customStyle="1" w:styleId="28">
    <w:name w:val="批注文字 Char"/>
    <w:basedOn w:val="13"/>
    <w:link w:val="3"/>
    <w:semiHidden/>
    <w:qFormat/>
    <w:uiPriority w:val="99"/>
  </w:style>
  <w:style w:type="character" w:customStyle="1" w:styleId="29">
    <w:name w:val="批注主题 Char"/>
    <w:basedOn w:val="28"/>
    <w:semiHidden/>
    <w:qFormat/>
    <w:uiPriority w:val="99"/>
    <w:rPr>
      <w:b/>
      <w:bCs/>
    </w:rPr>
  </w:style>
  <w:style w:type="character" w:customStyle="1" w:styleId="30">
    <w:name w:val="批注框文本 Char"/>
    <w:basedOn w:val="13"/>
    <w:semiHidden/>
    <w:qFormat/>
    <w:uiPriority w:val="99"/>
    <w:rPr>
      <w:sz w:val="18"/>
      <w:szCs w:val="18"/>
    </w:rPr>
  </w:style>
  <w:style w:type="paragraph" w:customStyle="1" w:styleId="31">
    <w:name w:val="日期1"/>
    <w:basedOn w:val="1"/>
    <w:next w:val="1"/>
    <w:qFormat/>
    <w:uiPriority w:val="0"/>
    <w:pPr>
      <w:ind w:left="100" w:leftChars="2500"/>
    </w:pPr>
    <w:rPr>
      <w:rFonts w:ascii="Times New Roman" w:hAnsi="Times New Roman" w:eastAsia="宋体" w:cs="Times New Roman"/>
      <w:szCs w:val="24"/>
    </w:rPr>
  </w:style>
  <w:style w:type="character" w:customStyle="1" w:styleId="32">
    <w:name w:val="纯文本 Char"/>
    <w:basedOn w:val="13"/>
    <w:link w:val="4"/>
    <w:qFormat/>
    <w:uiPriority w:val="0"/>
    <w:rPr>
      <w:rFonts w:ascii="仿宋_GB2312" w:hAnsi="Times New Roman" w:eastAsia="宋体" w:cs="Times New Roman"/>
      <w:sz w:val="24"/>
      <w:szCs w:val="24"/>
    </w:rPr>
  </w:style>
  <w:style w:type="paragraph" w:customStyle="1" w:styleId="33">
    <w:name w:val="Char"/>
    <w:basedOn w:val="1"/>
    <w:qFormat/>
    <w:uiPriority w:val="0"/>
    <w:pPr>
      <w:tabs>
        <w:tab w:val="left" w:pos="425"/>
      </w:tabs>
      <w:ind w:left="425" w:hanging="425"/>
    </w:pPr>
    <w:rPr>
      <w:rFonts w:ascii="Times New Roman" w:hAnsi="Times New Roman" w:eastAsia="宋体" w:cs="Times New Roman"/>
      <w:szCs w:val="24"/>
    </w:rPr>
  </w:style>
  <w:style w:type="paragraph" w:customStyle="1" w:styleId="34">
    <w:name w:val="列出段落1"/>
    <w:basedOn w:val="1"/>
    <w:qFormat/>
    <w:uiPriority w:val="0"/>
    <w:pPr>
      <w:ind w:firstLine="420" w:firstLineChars="200"/>
    </w:pPr>
    <w:rPr>
      <w:rFonts w:ascii="Calibri" w:hAnsi="Calibri" w:eastAsia="宋体" w:cs="Times New Roman"/>
    </w:rPr>
  </w:style>
  <w:style w:type="paragraph" w:styleId="35">
    <w:name w:val="List Paragraph"/>
    <w:basedOn w:val="1"/>
    <w:qFormat/>
    <w:uiPriority w:val="34"/>
    <w:pPr>
      <w:ind w:firstLine="420" w:firstLineChars="200"/>
    </w:pPr>
  </w:style>
  <w:style w:type="paragraph" w:customStyle="1" w:styleId="36">
    <w:name w:val="olistparagraph"/>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37">
    <w:name w:val="onormal"/>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38">
    <w:name w:val="纯文本 Char1"/>
    <w:qFormat/>
    <w:locked/>
    <w:uiPriority w:val="0"/>
    <w:rPr>
      <w:rFonts w:hint="eastAsia" w:ascii="仿宋_GB2312" w:hAnsi="Calibri" w:eastAsia="仿宋_GB2312"/>
      <w:kern w:val="2"/>
      <w:sz w:val="24"/>
      <w:szCs w:val="24"/>
    </w:rPr>
  </w:style>
  <w:style w:type="paragraph" w:customStyle="1" w:styleId="39">
    <w:name w:val="sonormal"/>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40">
    <w:name w:val="普通(网站) Char"/>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hps</Company>
  <Pages>3</Pages>
  <Words>2450</Words>
  <Characters>2786</Characters>
  <Lines>16</Lines>
  <Paragraphs>4</Paragraphs>
  <TotalTime>4</TotalTime>
  <ScaleCrop>false</ScaleCrop>
  <LinksUpToDate>false</LinksUpToDate>
  <CharactersWithSpaces>2872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2024-05-21T06:29:00Z</dcterms:created>
  <dc:creator>宋莎莎</dc:creator>
  <cp:lastModifiedBy>Xxl</cp:lastModifiedBy>
  <cp:lastPrinted>2023-02-16T02:21:00Z</cp:lastPrinted>
  <dcterms:modified xsi:type="dcterms:W3CDTF">2025-04-21T03:36:19Z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eyJoZGlkIjoiMzU0ZGY0ZGI0NTQ4YjM0NTVlYTYyZDhiNzcyMTZlYmYifQ==</vt:lpwstr>
  </property>
  <property fmtid="{D5CDD505-2E9C-101B-9397-08002B2CF9AE}" pid="3" name="KSOProductBuildVer">
    <vt:lpwstr>2052-12.1.0.20784</vt:lpwstr>
  </property>
  <property fmtid="{D5CDD505-2E9C-101B-9397-08002B2CF9AE}" pid="4" name="ICV">
    <vt:lpwstr>573FAA350DFA4916A3B80F12BF8704CE_12</vt:lpwstr>
  </property>
</Properties>
</file>