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2024年度自然资源科学技术奖公示表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36"/>
        <w:gridCol w:w="990"/>
        <w:gridCol w:w="1140"/>
        <w:gridCol w:w="295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6" w:type="dxa"/>
          </w:tcPr>
          <w:p>
            <w:pPr>
              <w:rPr>
                <w:rFonts w:hint="eastAsia"/>
                <w:sz w:val="28"/>
                <w:szCs w:val="28"/>
                <w:vertAlign w:val="baseline"/>
                <w:lang w:val="en-US" w:eastAsia="zh-CN"/>
              </w:rPr>
            </w:pPr>
            <w:r>
              <w:rPr>
                <w:rFonts w:hint="eastAsia"/>
                <w:sz w:val="28"/>
                <w:szCs w:val="28"/>
                <w:vertAlign w:val="baseline"/>
                <w:lang w:val="en-US" w:eastAsia="zh-CN"/>
              </w:rPr>
              <w:t>项目名称</w:t>
            </w:r>
          </w:p>
        </w:tc>
        <w:tc>
          <w:tcPr>
            <w:tcW w:w="6586" w:type="dxa"/>
            <w:gridSpan w:val="4"/>
          </w:tcPr>
          <w:p>
            <w:pPr>
              <w:rPr>
                <w:rFonts w:hint="eastAsia"/>
                <w:sz w:val="28"/>
                <w:szCs w:val="28"/>
                <w:vertAlign w:val="baseline"/>
                <w:lang w:val="en-US" w:eastAsia="zh-CN"/>
              </w:rPr>
            </w:pPr>
            <w:r>
              <w:rPr>
                <w:rFonts w:hint="eastAsia" w:ascii="宋体" w:hAnsi="宋体"/>
                <w:sz w:val="28"/>
                <w:szCs w:val="24"/>
              </w:rPr>
              <w:t>新一代SUEZMAX型穿梭油船研制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6" w:type="dxa"/>
          </w:tcPr>
          <w:p>
            <w:pPr>
              <w:rPr>
                <w:rFonts w:hint="eastAsia"/>
                <w:sz w:val="28"/>
                <w:szCs w:val="28"/>
                <w:vertAlign w:val="baseline"/>
                <w:lang w:val="en-US" w:eastAsia="zh-CN"/>
              </w:rPr>
            </w:pPr>
            <w:r>
              <w:rPr>
                <w:rFonts w:hint="eastAsia"/>
                <w:sz w:val="28"/>
                <w:szCs w:val="28"/>
                <w:vertAlign w:val="baseline"/>
                <w:lang w:val="en-US" w:eastAsia="zh-CN"/>
              </w:rPr>
              <w:t>申报奖项</w:t>
            </w:r>
          </w:p>
        </w:tc>
        <w:tc>
          <w:tcPr>
            <w:tcW w:w="6586" w:type="dxa"/>
            <w:gridSpan w:val="4"/>
          </w:tcPr>
          <w:p>
            <w:pPr>
              <w:rPr>
                <w:rFonts w:hint="eastAsia"/>
                <w:sz w:val="28"/>
                <w:szCs w:val="28"/>
                <w:vertAlign w:val="baseline"/>
                <w:lang w:val="en-US" w:eastAsia="zh-CN"/>
              </w:rPr>
            </w:pPr>
            <w:r>
              <w:rPr>
                <w:rFonts w:hint="eastAsia" w:ascii="宋体" w:hAnsi="宋体"/>
                <w:sz w:val="28"/>
                <w:szCs w:val="24"/>
              </w:rPr>
              <w:t>科技进步奖一等奖</w:t>
            </w:r>
            <w:r>
              <w:rPr>
                <w:rFonts w:hint="eastAsia" w:ascii="宋体" w:hAnsi="宋体"/>
                <w:sz w:val="28"/>
                <w:szCs w:val="24"/>
                <w:lang w:eastAsia="zh-CN"/>
              </w:rPr>
              <w:t>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6" w:type="dxa"/>
          </w:tcPr>
          <w:p>
            <w:pPr>
              <w:rPr>
                <w:rFonts w:hint="eastAsia"/>
                <w:sz w:val="28"/>
                <w:szCs w:val="28"/>
                <w:vertAlign w:val="baseline"/>
                <w:lang w:val="en-US" w:eastAsia="zh-CN"/>
              </w:rPr>
            </w:pPr>
            <w:r>
              <w:rPr>
                <w:rFonts w:hint="eastAsia"/>
                <w:sz w:val="28"/>
                <w:szCs w:val="28"/>
                <w:vertAlign w:val="baseline"/>
                <w:lang w:val="en-US" w:eastAsia="zh-CN"/>
              </w:rPr>
              <w:t>主要完成单位</w:t>
            </w:r>
          </w:p>
        </w:tc>
        <w:tc>
          <w:tcPr>
            <w:tcW w:w="6586" w:type="dxa"/>
            <w:gridSpan w:val="4"/>
          </w:tcPr>
          <w:p>
            <w:pPr>
              <w:rPr>
                <w:rFonts w:hint="eastAsia"/>
                <w:sz w:val="28"/>
                <w:szCs w:val="28"/>
                <w:vertAlign w:val="baseline"/>
                <w:lang w:val="en-US" w:eastAsia="zh-CN"/>
              </w:rPr>
            </w:pPr>
            <w:r>
              <w:rPr>
                <w:rFonts w:hint="eastAsia" w:ascii="宋体" w:hAnsi="宋体"/>
                <w:sz w:val="28"/>
                <w:szCs w:val="24"/>
              </w:rPr>
              <w:t>大连船舶重工集团有限公司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01" w:hRule="atLeast"/>
        </w:trPr>
        <w:tc>
          <w:tcPr>
            <w:tcW w:w="1936" w:type="dxa"/>
          </w:tcPr>
          <w:p>
            <w:pPr>
              <w:rPr>
                <w:rFonts w:hint="eastAsia"/>
                <w:sz w:val="28"/>
                <w:szCs w:val="28"/>
                <w:vertAlign w:val="baseline"/>
                <w:lang w:val="en-US" w:eastAsia="zh-CN"/>
              </w:rPr>
            </w:pPr>
            <w:r>
              <w:rPr>
                <w:rFonts w:hint="eastAsia"/>
                <w:sz w:val="28"/>
                <w:szCs w:val="28"/>
                <w:vertAlign w:val="baseline"/>
                <w:lang w:val="en-US" w:eastAsia="zh-CN"/>
              </w:rPr>
              <w:t>主要完成人</w:t>
            </w:r>
          </w:p>
        </w:tc>
        <w:tc>
          <w:tcPr>
            <w:tcW w:w="6586" w:type="dxa"/>
            <w:gridSpan w:val="4"/>
          </w:tcPr>
          <w:p>
            <w:pPr>
              <w:spacing w:line="360" w:lineRule="auto"/>
              <w:jc w:val="left"/>
              <w:rPr>
                <w:rFonts w:hint="eastAsia"/>
                <w:sz w:val="28"/>
                <w:szCs w:val="28"/>
                <w:vertAlign w:val="baseline"/>
                <w:lang w:val="en-US" w:eastAsia="zh-CN"/>
              </w:rPr>
            </w:pPr>
            <w:r>
              <w:rPr>
                <w:rFonts w:hint="eastAsia" w:ascii="宋体" w:hAnsi="宋体"/>
                <w:sz w:val="28"/>
                <w:szCs w:val="24"/>
              </w:rPr>
              <w:t>李新鑫、李吉明、刘跃强、梅荣兵、李安戈</w:t>
            </w:r>
            <w:r>
              <w:rPr>
                <w:rFonts w:hint="eastAsia" w:ascii="宋体" w:hAnsi="宋体"/>
                <w:sz w:val="28"/>
                <w:szCs w:val="24"/>
                <w:lang w:eastAsia="zh-CN"/>
              </w:rPr>
              <w:t>、</w:t>
            </w:r>
            <w:r>
              <w:rPr>
                <w:rFonts w:hint="eastAsia" w:ascii="宋体" w:hAnsi="宋体"/>
                <w:sz w:val="28"/>
                <w:szCs w:val="24"/>
              </w:rPr>
              <w:t>檀</w:t>
            </w:r>
            <w:r>
              <w:rPr>
                <w:rFonts w:hint="eastAsia" w:ascii="宋体" w:hAnsi="宋体"/>
                <w:sz w:val="28"/>
                <w:szCs w:val="24"/>
                <w:lang w:val="en-US" w:eastAsia="zh-CN"/>
              </w:rPr>
              <w:t xml:space="preserve">  </w:t>
            </w:r>
            <w:r>
              <w:rPr>
                <w:rFonts w:hint="eastAsia" w:ascii="宋体" w:hAnsi="宋体"/>
                <w:sz w:val="28"/>
                <w:szCs w:val="24"/>
              </w:rPr>
              <w:t>驰、缪</w:t>
            </w:r>
            <w:r>
              <w:rPr>
                <w:rFonts w:hint="eastAsia" w:ascii="宋体" w:hAnsi="宋体"/>
                <w:sz w:val="28"/>
                <w:szCs w:val="24"/>
                <w:lang w:val="en-US" w:eastAsia="zh-CN"/>
              </w:rPr>
              <w:t xml:space="preserve">  </w:t>
            </w:r>
            <w:r>
              <w:rPr>
                <w:rFonts w:hint="eastAsia" w:ascii="宋体" w:hAnsi="宋体"/>
                <w:sz w:val="28"/>
                <w:szCs w:val="24"/>
              </w:rPr>
              <w:t>纪、孙鹏然、毕洪坤、李</w:t>
            </w:r>
            <w:r>
              <w:rPr>
                <w:rFonts w:hint="eastAsia" w:ascii="宋体" w:hAnsi="宋体"/>
                <w:sz w:val="28"/>
                <w:szCs w:val="24"/>
                <w:lang w:val="en-US" w:eastAsia="zh-CN"/>
              </w:rPr>
              <w:t xml:space="preserve">  </w:t>
            </w:r>
            <w:r>
              <w:rPr>
                <w:rFonts w:hint="eastAsia" w:ascii="宋体" w:hAnsi="宋体"/>
                <w:sz w:val="28"/>
                <w:szCs w:val="24"/>
              </w:rPr>
              <w:t>林</w:t>
            </w:r>
            <w:r>
              <w:rPr>
                <w:rFonts w:hint="eastAsia" w:ascii="宋体" w:hAnsi="宋体"/>
                <w:sz w:val="28"/>
                <w:szCs w:val="24"/>
                <w:lang w:eastAsia="zh-CN"/>
              </w:rPr>
              <w:t>、</w:t>
            </w:r>
            <w:r>
              <w:rPr>
                <w:rFonts w:hint="eastAsia" w:ascii="宋体" w:hAnsi="宋体"/>
                <w:sz w:val="28"/>
                <w:szCs w:val="24"/>
              </w:rPr>
              <w:t>王景洋、孙</w:t>
            </w:r>
            <w:r>
              <w:rPr>
                <w:rFonts w:hint="eastAsia" w:ascii="宋体" w:hAnsi="宋体"/>
                <w:sz w:val="28"/>
                <w:szCs w:val="24"/>
                <w:lang w:val="en-US" w:eastAsia="zh-CN"/>
              </w:rPr>
              <w:t xml:space="preserve">  </w:t>
            </w:r>
            <w:r>
              <w:rPr>
                <w:rFonts w:hint="eastAsia" w:ascii="宋体" w:hAnsi="宋体"/>
                <w:sz w:val="28"/>
                <w:szCs w:val="24"/>
              </w:rPr>
              <w:t>鹏、石振强、牟春强、陈</w:t>
            </w:r>
            <w:r>
              <w:rPr>
                <w:rFonts w:hint="eastAsia" w:ascii="宋体" w:hAnsi="宋体"/>
                <w:sz w:val="28"/>
                <w:szCs w:val="24"/>
                <w:lang w:val="en-US" w:eastAsia="zh-CN"/>
              </w:rPr>
              <w:t xml:space="preserve">  </w:t>
            </w:r>
            <w:r>
              <w:rPr>
                <w:rFonts w:hint="eastAsia" w:ascii="宋体" w:hAnsi="宋体"/>
                <w:sz w:val="28"/>
                <w:szCs w:val="24"/>
              </w:rPr>
              <w:t>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09" w:hRule="atLeast"/>
        </w:trPr>
        <w:tc>
          <w:tcPr>
            <w:tcW w:w="1936" w:type="dxa"/>
          </w:tcPr>
          <w:p>
            <w:pPr>
              <w:rPr>
                <w:rFonts w:hint="eastAsia"/>
                <w:sz w:val="28"/>
                <w:szCs w:val="28"/>
                <w:vertAlign w:val="baseline"/>
                <w:lang w:val="en-US" w:eastAsia="zh-CN"/>
              </w:rPr>
            </w:pPr>
            <w:r>
              <w:rPr>
                <w:rFonts w:hint="eastAsia"/>
                <w:sz w:val="28"/>
                <w:szCs w:val="28"/>
                <w:vertAlign w:val="baseline"/>
                <w:lang w:val="en-US" w:eastAsia="zh-CN"/>
              </w:rPr>
              <w:t>推荐意见</w:t>
            </w:r>
          </w:p>
        </w:tc>
        <w:tc>
          <w:tcPr>
            <w:tcW w:w="6586" w:type="dxa"/>
            <w:gridSpan w:val="4"/>
          </w:tcPr>
          <w:p>
            <w:pPr>
              <w:ind w:firstLine="560" w:firstLineChars="200"/>
              <w:rPr>
                <w:rFonts w:hint="eastAsia"/>
                <w:sz w:val="28"/>
                <w:szCs w:val="28"/>
                <w:vertAlign w:val="baseline"/>
                <w:lang w:val="en-US" w:eastAsia="zh-CN"/>
              </w:rPr>
            </w:pPr>
            <w:r>
              <w:rPr>
                <w:rFonts w:hint="eastAsia"/>
                <w:sz w:val="28"/>
                <w:szCs w:val="28"/>
                <w:vertAlign w:val="baseline"/>
                <w:lang w:val="en-US" w:eastAsia="zh-CN"/>
              </w:rPr>
              <w:t>大连造船依托本项目开展自主研发，成功解决了SUEZMAX型穿梭油船研制的多项关键技术，取得了多项技术创新，总体技术达到国际先进水平。本项目取得了多项自主知识产权，部分研究成果授权发明专利1项、授权实用新型专利15项、受理发明专利4项，发表论文2篇。</w:t>
            </w:r>
          </w:p>
          <w:p>
            <w:pPr>
              <w:ind w:firstLine="560" w:firstLineChars="200"/>
              <w:rPr>
                <w:rFonts w:hint="eastAsia"/>
                <w:sz w:val="28"/>
                <w:szCs w:val="28"/>
                <w:vertAlign w:val="baseline"/>
                <w:lang w:val="en-US" w:eastAsia="zh-CN"/>
              </w:rPr>
            </w:pPr>
            <w:r>
              <w:rPr>
                <w:rFonts w:hint="eastAsia"/>
                <w:sz w:val="28"/>
                <w:szCs w:val="28"/>
                <w:vertAlign w:val="baseline"/>
                <w:lang w:val="en-US" w:eastAsia="zh-CN"/>
              </w:rPr>
              <w:t>项目研究成果成功应用于大连造船为上海北海船务股份有限公司设计建造的“诺斯先锋”穿梭油船中。目前，“诺斯先锋”轮已正式投入巴西海上油田穿梭原油运输服务，标志着中国首个自主设计建造并具备国际运营能力的动力定位穿梭已经形成关键运力，充分验证了该项目研发的船型方案、动力定位系统、艏装载系统和闭环配电系统的可靠性，也标志着我国企业正式拥有巴西海域动力定位穿梭油船的独立运营能力，形成生产、提油、出口和运输的全产业链优势，极大提高我国在南美原油装卸的自主度和经济性。“诺思先锋”号正式投用，也是“国油国运、国轮国造”战略实施的又一座里程碑。</w:t>
            </w:r>
          </w:p>
          <w:p>
            <w:pPr>
              <w:ind w:firstLine="560" w:firstLineChars="200"/>
              <w:rPr>
                <w:rFonts w:hint="eastAsia"/>
                <w:sz w:val="28"/>
                <w:szCs w:val="28"/>
                <w:vertAlign w:val="baseline"/>
                <w:lang w:val="en-US" w:eastAsia="zh-CN"/>
              </w:rPr>
            </w:pPr>
            <w:r>
              <w:rPr>
                <w:rFonts w:hint="eastAsia"/>
                <w:sz w:val="28"/>
                <w:szCs w:val="28"/>
                <w:vertAlign w:val="baseline"/>
                <w:lang w:val="en-US" w:eastAsia="zh-CN"/>
              </w:rPr>
              <w:t>该项目申报资料属实，主要完成单位和主要完成人组成及排序无异议，同意申报自然资源科学技术奖</w:t>
            </w:r>
            <w:r>
              <w:rPr>
                <w:rFonts w:hint="eastAsia" w:ascii="宋体" w:hAnsi="宋体"/>
                <w:sz w:val="28"/>
                <w:szCs w:val="24"/>
              </w:rPr>
              <w:t>科技进步奖一等奖</w:t>
            </w:r>
            <w:r>
              <w:rPr>
                <w:rFonts w:hint="eastAsia" w:ascii="宋体" w:hAnsi="宋体"/>
                <w:sz w:val="28"/>
                <w:szCs w:val="24"/>
                <w:lang w:eastAsia="zh-CN"/>
              </w:rPr>
              <w:t>或二等奖</w:t>
            </w:r>
            <w:r>
              <w:rPr>
                <w:rFonts w:hint="eastAsia"/>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9" w:hRule="atLeast"/>
        </w:trPr>
        <w:tc>
          <w:tcPr>
            <w:tcW w:w="1936" w:type="dxa"/>
          </w:tcPr>
          <w:p>
            <w:pPr>
              <w:rPr>
                <w:rFonts w:hint="eastAsia"/>
                <w:sz w:val="28"/>
                <w:szCs w:val="28"/>
                <w:vertAlign w:val="baseline"/>
                <w:lang w:val="en-US" w:eastAsia="zh-CN"/>
              </w:rPr>
            </w:pPr>
            <w:r>
              <w:rPr>
                <w:rFonts w:hint="eastAsia"/>
                <w:sz w:val="28"/>
                <w:szCs w:val="28"/>
                <w:vertAlign w:val="baseline"/>
                <w:lang w:val="en-US" w:eastAsia="zh-CN"/>
              </w:rPr>
              <w:t>成果简介</w:t>
            </w:r>
          </w:p>
        </w:tc>
        <w:tc>
          <w:tcPr>
            <w:tcW w:w="6586" w:type="dxa"/>
            <w:gridSpan w:val="4"/>
          </w:tcPr>
          <w:p>
            <w:pPr>
              <w:ind w:firstLine="560" w:firstLineChars="200"/>
              <w:rPr>
                <w:rFonts w:hint="eastAsia"/>
                <w:sz w:val="28"/>
                <w:szCs w:val="28"/>
                <w:vertAlign w:val="baseline"/>
                <w:lang w:val="en-US" w:eastAsia="zh-CN"/>
              </w:rPr>
            </w:pPr>
            <w:r>
              <w:rPr>
                <w:rFonts w:hint="eastAsia" w:ascii="宋体" w:hAnsi="宋体"/>
                <w:sz w:val="28"/>
                <w:szCs w:val="24"/>
              </w:rPr>
              <w:t>本项目取得多项技术创新</w:t>
            </w:r>
            <w:r>
              <w:rPr>
                <w:rFonts w:hint="eastAsia" w:ascii="宋体" w:hAnsi="宋体"/>
                <w:sz w:val="28"/>
                <w:szCs w:val="24"/>
                <w:lang w:eastAsia="zh-CN"/>
              </w:rPr>
              <w:t>，</w:t>
            </w:r>
            <w:r>
              <w:rPr>
                <w:rFonts w:hint="eastAsia" w:ascii="宋体" w:hAnsi="宋体"/>
                <w:sz w:val="28"/>
                <w:szCs w:val="24"/>
              </w:rPr>
              <w:t>通过船型优化、水动力优化技术、动力定位评估技术、闭环配电系统集成设计技术以及艏装载系统集成设计技术的应用，完成了全球最大级别的DP2型穿梭油船的研制。货油舱舱容达到170132.6立方米，能效设计指数低于基线值23%，载货能力、快速性和船舶环保指标世界领先；突破了动力定位性能评估方法，填补国内穿梭油船动力定位技术领域工程化应用空白；完成了闭环配电系统及各子系统设计集成技术研究，实现闭环配电技术在国内自主研发穿梭油船上的首次应用，并通过了试航验证和巴西国家石油公司最终接收试验验证；创新性地采用上下双套滚轮提升装置，实现艏装载系统优化增加了输油软管提升能力，满足巴西和北海等不同海域艏部集管区域作业要求，显著提升了本船作业的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6" w:type="dxa"/>
          </w:tcPr>
          <w:p>
            <w:pPr>
              <w:rPr>
                <w:rFonts w:hint="eastAsia"/>
                <w:sz w:val="28"/>
                <w:szCs w:val="28"/>
                <w:vertAlign w:val="baseline"/>
                <w:lang w:val="en-US" w:eastAsia="zh-CN"/>
              </w:rPr>
            </w:pPr>
            <w:r>
              <w:rPr>
                <w:rFonts w:hint="eastAsia"/>
                <w:sz w:val="28"/>
                <w:szCs w:val="28"/>
                <w:vertAlign w:val="baseline"/>
                <w:lang w:val="en-US" w:eastAsia="zh-CN"/>
              </w:rPr>
              <w:t>客观评价</w:t>
            </w:r>
          </w:p>
        </w:tc>
        <w:tc>
          <w:tcPr>
            <w:tcW w:w="6586" w:type="dxa"/>
            <w:gridSpan w:val="4"/>
          </w:tcPr>
          <w:p>
            <w:pPr>
              <w:pStyle w:val="8"/>
              <w:ind w:firstLine="476" w:firstLineChars="170"/>
              <w:rPr>
                <w:rFonts w:hint="eastAsia"/>
                <w:sz w:val="28"/>
                <w:szCs w:val="28"/>
                <w:vertAlign w:val="baseline"/>
                <w:lang w:val="en-US" w:eastAsia="zh-CN"/>
              </w:rPr>
            </w:pPr>
            <w:r>
              <w:rPr>
                <w:rFonts w:hint="eastAsia" w:ascii="宋体" w:hAnsi="宋体"/>
                <w:sz w:val="28"/>
                <w:szCs w:val="24"/>
                <w:lang w:val="en-US" w:eastAsia="zh-CN"/>
              </w:rPr>
              <w:t>本项目研究成果成功应用于大连造船为上海北海船务股份有限公司设计建造的两艘穿梭油船中，船舶建造完全满足使用要求，实船测试均达到和超过技术指标要求，取得了超出预期的效果。经专家鉴定，该项目采用的主要设备、部件、器件、材料等立足国内产品，核心关键技术均为自主研发，已做到基本自主可控，总体技术达到国际先进水平。具有显著的经济和社会效益，应用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restart"/>
          </w:tcPr>
          <w:p>
            <w:pPr>
              <w:rPr>
                <w:rFonts w:hint="eastAsia"/>
                <w:lang w:val="en-US" w:eastAsia="zh-CN"/>
              </w:rPr>
            </w:pPr>
            <w:r>
              <w:rPr>
                <w:rFonts w:hint="eastAsia"/>
                <w:sz w:val="28"/>
                <w:szCs w:val="28"/>
                <w:vertAlign w:val="baseline"/>
                <w:lang w:val="en-US" w:eastAsia="zh-CN"/>
              </w:rPr>
              <w:t>主要知识产权</w:t>
            </w:r>
          </w:p>
        </w:tc>
        <w:tc>
          <w:tcPr>
            <w:tcW w:w="990" w:type="dxa"/>
            <w:vAlign w:val="center"/>
          </w:tcPr>
          <w:p>
            <w:pPr>
              <w:pStyle w:val="4"/>
              <w:spacing w:line="390" w:lineRule="exact"/>
              <w:ind w:firstLine="0" w:firstLineChars="0"/>
              <w:jc w:val="center"/>
              <w:rPr>
                <w:rFonts w:hint="eastAsia" w:ascii="宋体" w:hAnsiTheme="minorHAnsi" w:eastAsiaTheme="minorEastAsia" w:cstheme="minorBidi"/>
                <w:color w:val="000000"/>
                <w:kern w:val="2"/>
                <w:sz w:val="21"/>
                <w:szCs w:val="21"/>
                <w:lang w:val="en-US" w:eastAsia="zh-CN" w:bidi="ar-SA"/>
              </w:rPr>
            </w:pPr>
            <w:r>
              <w:rPr>
                <w:rFonts w:hint="eastAsia" w:ascii="宋体"/>
                <w:color w:val="000000"/>
                <w:sz w:val="21"/>
                <w:szCs w:val="21"/>
              </w:rPr>
              <w:t>序号</w:t>
            </w:r>
          </w:p>
        </w:tc>
        <w:tc>
          <w:tcPr>
            <w:tcW w:w="1140" w:type="dxa"/>
            <w:vAlign w:val="center"/>
          </w:tcPr>
          <w:p>
            <w:pPr>
              <w:pStyle w:val="4"/>
              <w:spacing w:line="390" w:lineRule="exact"/>
              <w:ind w:firstLine="0" w:firstLineChars="0"/>
              <w:jc w:val="center"/>
              <w:rPr>
                <w:rFonts w:hint="eastAsia" w:ascii="宋体" w:hAnsiTheme="minorHAnsi" w:eastAsiaTheme="minorEastAsia" w:cstheme="minorBidi"/>
                <w:color w:val="000000"/>
                <w:kern w:val="2"/>
                <w:sz w:val="21"/>
                <w:szCs w:val="21"/>
                <w:lang w:val="en-US" w:eastAsia="zh-CN" w:bidi="ar-SA"/>
              </w:rPr>
            </w:pPr>
            <w:r>
              <w:rPr>
                <w:rFonts w:hint="eastAsia" w:ascii="宋体"/>
                <w:color w:val="000000"/>
                <w:sz w:val="21"/>
                <w:szCs w:val="21"/>
              </w:rPr>
              <w:t>知识产权类别</w:t>
            </w:r>
          </w:p>
        </w:tc>
        <w:tc>
          <w:tcPr>
            <w:tcW w:w="2955"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知识产权具体名称</w:t>
            </w:r>
          </w:p>
        </w:tc>
        <w:tc>
          <w:tcPr>
            <w:tcW w:w="1501"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1</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发明专利</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w:t>
            </w:r>
            <w:bookmarkStart w:id="0" w:name="_GoBack"/>
            <w:bookmarkEnd w:id="0"/>
            <w:r>
              <w:rPr>
                <w:rFonts w:hint="eastAsia" w:ascii="宋体" w:hAnsi="宋体" w:cs="宋体"/>
                <w:color w:val="000000"/>
                <w:kern w:val="0"/>
                <w:szCs w:val="21"/>
              </w:rPr>
              <w:t>船舶自动巡检方法</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ZL202210452684.3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2</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一种变频式低温淡水冷却系统</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ZL202020832509.3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3</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一种适用于三个动力定位分组的压缩空气系统</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ZL202322241166.X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4</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一种穿梭油轮艏装载存绳及透水结构</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ZL202322241176.3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5</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一种倒悬式艏装载万向油管接头基座</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ZL202322241137.3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6</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一种板凳式全回转推进器电机支撑结构</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ZL202322241179.7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7</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一种全回转伸缩推进器升降导杆可调支撑</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ZL202322241169.3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8</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一种全回转推进器回收舱</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ZL202320693479.6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9</w:t>
            </w:r>
          </w:p>
        </w:tc>
        <w:tc>
          <w:tcPr>
            <w:tcW w:w="1140" w:type="dxa"/>
            <w:vAlign w:val="center"/>
          </w:tcPr>
          <w:p>
            <w:pPr>
              <w:widowControl/>
              <w:jc w:val="center"/>
              <w:rPr>
                <w:rFonts w:hint="eastAsia"/>
                <w:sz w:val="28"/>
                <w:szCs w:val="28"/>
                <w:vertAlign w:val="baseline"/>
                <w:lang w:val="en-US" w:eastAsia="zh-CN"/>
              </w:rPr>
            </w:pPr>
            <w:r>
              <w:rPr>
                <w:rFonts w:hint="eastAsia" w:ascii="宋体" w:hAnsi="宋体" w:cs="宋体"/>
                <w:color w:val="000000"/>
                <w:kern w:val="0"/>
                <w:szCs w:val="21"/>
              </w:rPr>
              <w:t>实用新型</w:t>
            </w:r>
          </w:p>
        </w:tc>
        <w:tc>
          <w:tcPr>
            <w:tcW w:w="2955" w:type="dxa"/>
            <w:vAlign w:val="center"/>
          </w:tcPr>
          <w:p>
            <w:pPr>
              <w:widowControl/>
              <w:jc w:val="left"/>
              <w:rPr>
                <w:rFonts w:hint="eastAsia"/>
                <w:sz w:val="28"/>
                <w:szCs w:val="28"/>
                <w:vertAlign w:val="baseline"/>
                <w:lang w:val="en-US" w:eastAsia="zh-CN"/>
              </w:rPr>
            </w:pPr>
            <w:r>
              <w:rPr>
                <w:rFonts w:hint="eastAsia" w:ascii="宋体" w:hAnsi="宋体" w:cs="宋体"/>
                <w:color w:val="000000"/>
                <w:kern w:val="0"/>
                <w:szCs w:val="21"/>
              </w:rPr>
              <w:t>一种用于侧推本体辅助安装工具</w:t>
            </w:r>
          </w:p>
        </w:tc>
        <w:tc>
          <w:tcPr>
            <w:tcW w:w="1501" w:type="dxa"/>
            <w:vAlign w:val="center"/>
          </w:tcPr>
          <w:p>
            <w:pPr>
              <w:widowControl/>
              <w:jc w:val="center"/>
              <w:rPr>
                <w:rFonts w:hint="eastAsia"/>
                <w:sz w:val="28"/>
                <w:szCs w:val="28"/>
                <w:vertAlign w:val="baseline"/>
                <w:lang w:val="en-US" w:eastAsia="zh-CN"/>
              </w:rPr>
            </w:pPr>
            <w:r>
              <w:rPr>
                <w:rFonts w:hint="eastAsia" w:ascii="宋体" w:hAnsi="宋体" w:cs="宋体"/>
                <w:kern w:val="0"/>
                <w:sz w:val="22"/>
                <w:szCs w:val="22"/>
              </w:rPr>
              <w:t>ZL202322241180.X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1936" w:type="dxa"/>
            <w:vMerge w:val="continue"/>
            <w:tcBorders/>
          </w:tcPr>
          <w:p>
            <w:pPr>
              <w:rPr>
                <w:rFonts w:hint="eastAsia"/>
                <w:sz w:val="28"/>
                <w:szCs w:val="28"/>
                <w:vertAlign w:val="baseline"/>
                <w:lang w:val="en-US" w:eastAsia="zh-CN"/>
              </w:rPr>
            </w:pPr>
          </w:p>
        </w:tc>
        <w:tc>
          <w:tcPr>
            <w:tcW w:w="990" w:type="dxa"/>
            <w:vAlign w:val="center"/>
          </w:tcPr>
          <w:p>
            <w:pPr>
              <w:pStyle w:val="4"/>
              <w:spacing w:line="390" w:lineRule="exact"/>
              <w:ind w:firstLine="0" w:firstLineChars="0"/>
              <w:jc w:val="center"/>
              <w:rPr>
                <w:rFonts w:hint="eastAsia"/>
                <w:sz w:val="28"/>
                <w:szCs w:val="28"/>
                <w:vertAlign w:val="baseline"/>
                <w:lang w:val="en-US" w:eastAsia="zh-CN"/>
              </w:rPr>
            </w:pPr>
            <w:r>
              <w:rPr>
                <w:rFonts w:hint="eastAsia" w:ascii="宋体"/>
                <w:color w:val="000000"/>
                <w:sz w:val="21"/>
                <w:szCs w:val="21"/>
              </w:rPr>
              <w:t>10</w:t>
            </w:r>
          </w:p>
        </w:tc>
        <w:tc>
          <w:tcPr>
            <w:tcW w:w="1140" w:type="dxa"/>
            <w:vAlign w:val="center"/>
          </w:tcPr>
          <w:p>
            <w:pPr>
              <w:widowControl/>
              <w:jc w:val="center"/>
              <w:rPr>
                <w:rFonts w:hint="eastAsia"/>
                <w:sz w:val="28"/>
                <w:szCs w:val="28"/>
                <w:vertAlign w:val="baseline"/>
                <w:lang w:val="en-US" w:eastAsia="zh-CN"/>
              </w:rPr>
            </w:pPr>
            <w:r>
              <w:rPr>
                <w:rFonts w:hint="eastAsia"/>
                <w:color w:val="000000"/>
                <w:szCs w:val="21"/>
              </w:rPr>
              <w:t>实用新型</w:t>
            </w:r>
          </w:p>
        </w:tc>
        <w:tc>
          <w:tcPr>
            <w:tcW w:w="2955" w:type="dxa"/>
            <w:vAlign w:val="center"/>
          </w:tcPr>
          <w:p>
            <w:pPr>
              <w:jc w:val="left"/>
              <w:rPr>
                <w:rFonts w:hint="eastAsia"/>
                <w:sz w:val="28"/>
                <w:szCs w:val="28"/>
                <w:vertAlign w:val="baseline"/>
                <w:lang w:val="en-US" w:eastAsia="zh-CN"/>
              </w:rPr>
            </w:pPr>
            <w:r>
              <w:rPr>
                <w:rFonts w:hint="eastAsia"/>
                <w:color w:val="000000"/>
                <w:szCs w:val="21"/>
              </w:rPr>
              <w:t>一种大型穿梭油轮艏部单点系泊系统设置结构</w:t>
            </w:r>
          </w:p>
        </w:tc>
        <w:tc>
          <w:tcPr>
            <w:tcW w:w="1501" w:type="dxa"/>
            <w:vAlign w:val="center"/>
          </w:tcPr>
          <w:p>
            <w:pPr>
              <w:jc w:val="center"/>
              <w:rPr>
                <w:rFonts w:hint="eastAsia"/>
                <w:sz w:val="28"/>
                <w:szCs w:val="28"/>
                <w:vertAlign w:val="baseline"/>
                <w:lang w:val="en-US" w:eastAsia="zh-CN"/>
              </w:rPr>
            </w:pPr>
            <w:r>
              <w:rPr>
                <w:rFonts w:hint="eastAsia"/>
                <w:sz w:val="22"/>
                <w:szCs w:val="22"/>
              </w:rPr>
              <w:t>ZL202322241171.0</w:t>
            </w:r>
          </w:p>
        </w:tc>
      </w:tr>
    </w:tbl>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957E6"/>
    <w:rsid w:val="344C4A04"/>
    <w:rsid w:val="36F65E1C"/>
    <w:rsid w:val="3AD306CF"/>
    <w:rsid w:val="3B6236B8"/>
    <w:rsid w:val="44CA0506"/>
    <w:rsid w:val="4A5C7BD5"/>
    <w:rsid w:val="573575F7"/>
    <w:rsid w:val="6895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eastAsia="仿宋_GB2312"/>
      <w:sz w:val="32"/>
    </w:rPr>
  </w:style>
  <w:style w:type="paragraph" w:styleId="3">
    <w:name w:val="Normal Indent"/>
    <w:basedOn w:val="1"/>
    <w:qFormat/>
    <w:uiPriority w:val="0"/>
    <w:pPr>
      <w:ind w:firstLine="420"/>
    </w:pPr>
  </w:style>
  <w:style w:type="paragraph" w:styleId="4">
    <w:name w:val="Plain Text"/>
    <w:basedOn w:val="1"/>
    <w:qFormat/>
    <w:uiPriority w:val="0"/>
    <w:pPr>
      <w:spacing w:line="360" w:lineRule="auto"/>
      <w:ind w:firstLine="480" w:firstLineChars="200"/>
    </w:pPr>
    <w:rPr>
      <w:rFonts w:ascii="仿宋_GB2312"/>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onormal"/>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2021-07-16T00:23:00Z</dcterms:created>
  <dc:creator>THTF</dc:creator>
  <cp:lastModifiedBy>THTF</cp:lastModifiedBy>
  <dcterms:modified xsi:type="dcterms:W3CDTF">2025-04-21T03:44:56Z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