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99" w:rsidRDefault="00D87781" w:rsidP="00424599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r w:rsidRPr="00D87781">
        <w:rPr>
          <w:rFonts w:ascii="Times New Roman" w:eastAsia="宋体" w:hint="eastAsia"/>
          <w:b/>
          <w:bCs/>
          <w:sz w:val="36"/>
          <w:szCs w:val="36"/>
        </w:rPr>
        <w:t>202</w:t>
      </w:r>
      <w:bookmarkStart w:id="0" w:name="_GoBack"/>
      <w:bookmarkEnd w:id="0"/>
      <w:r w:rsidR="00871B4B">
        <w:rPr>
          <w:rFonts w:ascii="Times New Roman" w:eastAsia="宋体" w:hint="eastAsia"/>
          <w:b/>
          <w:bCs/>
          <w:sz w:val="36"/>
          <w:szCs w:val="36"/>
        </w:rPr>
        <w:t>4</w:t>
      </w:r>
      <w:r w:rsidRPr="00D87781">
        <w:rPr>
          <w:rFonts w:ascii="Times New Roman" w:eastAsia="宋体" w:hint="eastAsia"/>
          <w:b/>
          <w:bCs/>
          <w:sz w:val="36"/>
          <w:szCs w:val="36"/>
        </w:rPr>
        <w:t>年度自然资源科学技术奖</w:t>
      </w:r>
      <w:r w:rsidR="00424599">
        <w:rPr>
          <w:rFonts w:ascii="宋体" w:eastAsia="宋体" w:hAnsi="宋体" w:cs="宋体" w:hint="eastAsia"/>
          <w:b/>
          <w:bCs/>
          <w:sz w:val="36"/>
          <w:szCs w:val="36"/>
        </w:rPr>
        <w:t>公示表</w:t>
      </w:r>
    </w:p>
    <w:p w:rsidR="00424599" w:rsidRDefault="00424599" w:rsidP="00424599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5"/>
        <w:gridCol w:w="7849"/>
      </w:tblGrid>
      <w:tr w:rsidR="00424599" w:rsidTr="00F86264">
        <w:trPr>
          <w:trHeight w:val="553"/>
          <w:jc w:val="center"/>
        </w:trPr>
        <w:tc>
          <w:tcPr>
            <w:tcW w:w="1615" w:type="dxa"/>
            <w:vAlign w:val="center"/>
          </w:tcPr>
          <w:p w:rsidR="00424599" w:rsidRDefault="00424599" w:rsidP="00BA601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项目名称</w:t>
            </w:r>
          </w:p>
        </w:tc>
        <w:tc>
          <w:tcPr>
            <w:tcW w:w="7849" w:type="dxa"/>
            <w:vAlign w:val="center"/>
          </w:tcPr>
          <w:p w:rsidR="00424599" w:rsidRPr="00A91978" w:rsidRDefault="00F86264" w:rsidP="00F86264">
            <w:pPr>
              <w:spacing w:line="240" w:lineRule="exact"/>
              <w:ind w:right="-20"/>
              <w:jc w:val="center"/>
              <w:rPr>
                <w:rFonts w:ascii="仿宋" w:eastAsia="仿宋" w:hAnsi="仿宋"/>
                <w:bCs/>
              </w:rPr>
            </w:pPr>
            <w:r w:rsidRPr="00A91978">
              <w:rPr>
                <w:rFonts w:ascii="仿宋" w:eastAsia="仿宋" w:hAnsi="仿宋" w:hint="eastAsia"/>
                <w:bCs/>
              </w:rPr>
              <w:t>5万吨级智能</w:t>
            </w:r>
            <w:proofErr w:type="gramStart"/>
            <w:r w:rsidRPr="00A91978">
              <w:rPr>
                <w:rFonts w:ascii="仿宋" w:eastAsia="仿宋" w:hAnsi="仿宋" w:hint="eastAsia"/>
                <w:bCs/>
              </w:rPr>
              <w:t>甲醇双</w:t>
            </w:r>
            <w:proofErr w:type="gramEnd"/>
            <w:r w:rsidRPr="00A91978">
              <w:rPr>
                <w:rFonts w:ascii="仿宋" w:eastAsia="仿宋" w:hAnsi="仿宋" w:hint="eastAsia"/>
                <w:bCs/>
              </w:rPr>
              <w:t>燃料化学品船研制</w:t>
            </w:r>
          </w:p>
        </w:tc>
      </w:tr>
      <w:tr w:rsidR="009244BA" w:rsidTr="009244BA">
        <w:trPr>
          <w:trHeight w:val="419"/>
          <w:jc w:val="center"/>
        </w:trPr>
        <w:tc>
          <w:tcPr>
            <w:tcW w:w="1615" w:type="dxa"/>
            <w:vAlign w:val="center"/>
          </w:tcPr>
          <w:p w:rsidR="009244BA" w:rsidRDefault="009244BA" w:rsidP="00BA6019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申报奖项</w:t>
            </w:r>
          </w:p>
        </w:tc>
        <w:tc>
          <w:tcPr>
            <w:tcW w:w="7849" w:type="dxa"/>
            <w:vAlign w:val="center"/>
          </w:tcPr>
          <w:p w:rsidR="009244BA" w:rsidRPr="00A91978" w:rsidRDefault="00145C70" w:rsidP="009244BA">
            <w:pPr>
              <w:spacing w:line="240" w:lineRule="exact"/>
              <w:ind w:right="-20" w:firstLineChars="200" w:firstLine="420"/>
              <w:jc w:val="center"/>
              <w:rPr>
                <w:rFonts w:ascii="仿宋" w:eastAsia="仿宋" w:hAnsi="仿宋"/>
                <w:bCs/>
              </w:rPr>
            </w:pPr>
            <w:r w:rsidRPr="00A91978">
              <w:rPr>
                <w:rFonts w:ascii="仿宋" w:eastAsia="仿宋" w:hAnsi="仿宋" w:hint="eastAsia"/>
                <w:bCs/>
              </w:rPr>
              <w:t>一等或二等</w:t>
            </w:r>
          </w:p>
        </w:tc>
      </w:tr>
      <w:tr w:rsidR="00145C70" w:rsidTr="00C0534C">
        <w:trPr>
          <w:trHeight w:val="398"/>
          <w:jc w:val="center"/>
        </w:trPr>
        <w:tc>
          <w:tcPr>
            <w:tcW w:w="1615" w:type="dxa"/>
            <w:vAlign w:val="center"/>
          </w:tcPr>
          <w:p w:rsidR="00145C70" w:rsidRDefault="00145C70" w:rsidP="00BA6019">
            <w:pPr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主要完成单位</w:t>
            </w:r>
          </w:p>
        </w:tc>
        <w:tc>
          <w:tcPr>
            <w:tcW w:w="7849" w:type="dxa"/>
            <w:vAlign w:val="center"/>
          </w:tcPr>
          <w:p w:rsidR="00145C70" w:rsidRPr="00A91978" w:rsidRDefault="00145C70" w:rsidP="00145C70">
            <w:pPr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广船国际有限公司</w:t>
            </w:r>
          </w:p>
        </w:tc>
      </w:tr>
      <w:tr w:rsidR="00145C70" w:rsidTr="00C0534C">
        <w:trPr>
          <w:trHeight w:val="397"/>
          <w:jc w:val="center"/>
        </w:trPr>
        <w:tc>
          <w:tcPr>
            <w:tcW w:w="1615" w:type="dxa"/>
            <w:vAlign w:val="center"/>
          </w:tcPr>
          <w:p w:rsidR="00145C70" w:rsidRDefault="00145C70" w:rsidP="00CE1A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 w:rsidRPr="003B1236">
              <w:rPr>
                <w:rFonts w:ascii="仿宋" w:eastAsia="仿宋" w:hAnsi="仿宋" w:hint="eastAsia"/>
                <w:b/>
                <w:bCs/>
              </w:rPr>
              <w:t>主要完成人</w:t>
            </w:r>
          </w:p>
        </w:tc>
        <w:tc>
          <w:tcPr>
            <w:tcW w:w="7849" w:type="dxa"/>
            <w:vAlign w:val="center"/>
          </w:tcPr>
          <w:p w:rsidR="00145C70" w:rsidRPr="00A91978" w:rsidRDefault="00F86264" w:rsidP="00884F8F">
            <w:pPr>
              <w:spacing w:line="400" w:lineRule="exact"/>
              <w:ind w:right="-20"/>
              <w:jc w:val="left"/>
              <w:rPr>
                <w:rFonts w:ascii="仿宋" w:eastAsia="仿宋" w:hAnsi="仿宋"/>
                <w:bCs/>
              </w:rPr>
            </w:pPr>
            <w:r w:rsidRPr="00A91978">
              <w:rPr>
                <w:rFonts w:ascii="仿宋" w:eastAsia="仿宋" w:hAnsi="仿宋" w:hint="eastAsia"/>
                <w:bCs/>
              </w:rPr>
              <w:t>汪建华、黄隽、李腾飞、杨光军、高峰、胡斌、杨麟、程超、石春光、魏伟明、梁赤光、李自强、黎相森、张楠、易容容</w:t>
            </w:r>
          </w:p>
        </w:tc>
      </w:tr>
      <w:tr w:rsidR="00145C70" w:rsidTr="00AC170F">
        <w:trPr>
          <w:trHeight w:val="2655"/>
          <w:jc w:val="center"/>
        </w:trPr>
        <w:tc>
          <w:tcPr>
            <w:tcW w:w="1615" w:type="dxa"/>
            <w:vAlign w:val="center"/>
          </w:tcPr>
          <w:p w:rsidR="00145C70" w:rsidRPr="00CE1A19" w:rsidRDefault="00145C70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 w:rsidRPr="00CE1A19">
              <w:rPr>
                <w:rFonts w:ascii="仿宋" w:eastAsia="仿宋" w:hAnsi="仿宋"/>
                <w:b/>
                <w:bCs/>
              </w:rPr>
              <w:t>推荐意见</w:t>
            </w:r>
          </w:p>
        </w:tc>
        <w:tc>
          <w:tcPr>
            <w:tcW w:w="7849" w:type="dxa"/>
            <w:vAlign w:val="center"/>
          </w:tcPr>
          <w:p w:rsidR="002E16CB" w:rsidRPr="00A91978" w:rsidRDefault="00A4242D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该项目是为满足</w:t>
            </w:r>
            <w:r w:rsidRPr="00A91978">
              <w:rPr>
                <w:rFonts w:ascii="仿宋" w:eastAsia="仿宋" w:hAnsi="仿宋"/>
                <w:szCs w:val="21"/>
              </w:rPr>
              <w:t>IMO</w:t>
            </w:r>
            <w:r w:rsidRPr="00A91978">
              <w:rPr>
                <w:rFonts w:ascii="仿宋" w:eastAsia="仿宋" w:hAnsi="仿宋" w:hint="eastAsia"/>
                <w:szCs w:val="21"/>
              </w:rPr>
              <w:t>减排要求，以及落实国家</w:t>
            </w:r>
            <w:r w:rsidRPr="00A91978">
              <w:rPr>
                <w:rFonts w:ascii="仿宋" w:eastAsia="仿宋" w:hAnsi="仿宋"/>
                <w:szCs w:val="21"/>
              </w:rPr>
              <w:t>"</w:t>
            </w:r>
            <w:proofErr w:type="gramStart"/>
            <w:r w:rsidRPr="00A91978">
              <w:rPr>
                <w:rFonts w:ascii="仿宋" w:eastAsia="仿宋" w:hAnsi="仿宋" w:hint="eastAsia"/>
                <w:szCs w:val="21"/>
              </w:rPr>
              <w:t>双碳</w:t>
            </w:r>
            <w:r w:rsidRPr="00A91978">
              <w:rPr>
                <w:rFonts w:ascii="仿宋" w:eastAsia="仿宋" w:hAnsi="仿宋"/>
                <w:szCs w:val="21"/>
              </w:rPr>
              <w:t>"</w:t>
            </w:r>
            <w:proofErr w:type="gramEnd"/>
            <w:r w:rsidRPr="00A91978">
              <w:rPr>
                <w:rFonts w:ascii="仿宋" w:eastAsia="仿宋" w:hAnsi="仿宋" w:hint="eastAsia"/>
                <w:szCs w:val="21"/>
              </w:rPr>
              <w:t>战略，由广船国际自主研发设计建造的一型</w:t>
            </w:r>
            <w:r w:rsidRPr="00A91978">
              <w:rPr>
                <w:rFonts w:ascii="仿宋" w:eastAsia="仿宋" w:hAnsi="仿宋"/>
                <w:szCs w:val="21"/>
              </w:rPr>
              <w:t>"5</w:t>
            </w:r>
            <w:r w:rsidRPr="00A91978">
              <w:rPr>
                <w:rFonts w:ascii="仿宋" w:eastAsia="仿宋" w:hAnsi="仿宋" w:hint="eastAsia"/>
                <w:szCs w:val="21"/>
              </w:rPr>
              <w:t>万吨级智能</w:t>
            </w:r>
            <w:proofErr w:type="gramStart"/>
            <w:r w:rsidRPr="00A91978">
              <w:rPr>
                <w:rFonts w:ascii="仿宋" w:eastAsia="仿宋" w:hAnsi="仿宋" w:hint="eastAsia"/>
                <w:szCs w:val="21"/>
              </w:rPr>
              <w:t>甲醇双</w:t>
            </w:r>
            <w:proofErr w:type="gramEnd"/>
            <w:r w:rsidRPr="00A91978">
              <w:rPr>
                <w:rFonts w:ascii="仿宋" w:eastAsia="仿宋" w:hAnsi="仿宋" w:hint="eastAsia"/>
                <w:szCs w:val="21"/>
              </w:rPr>
              <w:t>燃料化学品船</w:t>
            </w:r>
            <w:r w:rsidRPr="00A91978">
              <w:rPr>
                <w:rFonts w:ascii="仿宋" w:eastAsia="仿宋" w:hAnsi="仿宋"/>
                <w:szCs w:val="21"/>
              </w:rPr>
              <w:t>"</w:t>
            </w:r>
            <w:r w:rsidRPr="00A91978">
              <w:rPr>
                <w:rFonts w:ascii="仿宋" w:eastAsia="仿宋" w:hAnsi="仿宋" w:hint="eastAsia"/>
                <w:szCs w:val="21"/>
              </w:rPr>
              <w:t>，是实现绿色船舶转型升级的成功典范。该项目的顺利建造，既给广船国际带来可观的利润，实现批量化接单建造，又带动上下游产业链的升级转型，加速关键核心装备国产化。项目技术自主研发设计，填补了国内</w:t>
            </w:r>
            <w:proofErr w:type="gramStart"/>
            <w:r w:rsidRPr="00A91978">
              <w:rPr>
                <w:rFonts w:ascii="仿宋" w:eastAsia="仿宋" w:hAnsi="仿宋" w:hint="eastAsia"/>
                <w:szCs w:val="21"/>
              </w:rPr>
              <w:t>甲醇双</w:t>
            </w:r>
            <w:proofErr w:type="gramEnd"/>
            <w:r w:rsidRPr="00A91978">
              <w:rPr>
                <w:rFonts w:ascii="仿宋" w:eastAsia="仿宋" w:hAnsi="仿宋" w:hint="eastAsia"/>
                <w:szCs w:val="21"/>
              </w:rPr>
              <w:t>燃料船舶的技术空白，打破了欧美日韩的技术垄断。项目交付船东运营后，船东对船舶的综合性能十分满意。</w:t>
            </w:r>
          </w:p>
          <w:p w:rsidR="00A4242D" w:rsidRPr="00A91978" w:rsidRDefault="00A4242D" w:rsidP="00A4242D">
            <w:pPr>
              <w:rPr>
                <w:rFonts w:ascii="仿宋" w:eastAsia="仿宋" w:hAnsi="仿宋"/>
                <w:szCs w:val="21"/>
              </w:rPr>
            </w:pPr>
          </w:p>
          <w:p w:rsidR="00A4242D" w:rsidRPr="00A91978" w:rsidRDefault="00A4242D" w:rsidP="00A4242D">
            <w:pPr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本项目已经内部公示，对主要完成单位、完成人名单及排序无异议，申报材料属实。</w:t>
            </w:r>
          </w:p>
          <w:p w:rsidR="00145C70" w:rsidRPr="00A91978" w:rsidRDefault="00A4242D" w:rsidP="00111994">
            <w:pPr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同意申报2024年度自然资源科学技术奖一等奖。</w:t>
            </w:r>
          </w:p>
        </w:tc>
      </w:tr>
      <w:tr w:rsidR="00145C70" w:rsidTr="00C0534C">
        <w:trPr>
          <w:trHeight w:val="2967"/>
          <w:jc w:val="center"/>
        </w:trPr>
        <w:tc>
          <w:tcPr>
            <w:tcW w:w="1615" w:type="dxa"/>
            <w:vAlign w:val="center"/>
          </w:tcPr>
          <w:p w:rsidR="00145C70" w:rsidRDefault="00145C70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 w:rsidRPr="00CE1A19">
              <w:rPr>
                <w:rFonts w:ascii="仿宋" w:eastAsia="仿宋" w:hAnsi="仿宋"/>
                <w:b/>
                <w:bCs/>
              </w:rPr>
              <w:t>成果简介</w:t>
            </w:r>
          </w:p>
        </w:tc>
        <w:tc>
          <w:tcPr>
            <w:tcW w:w="7849" w:type="dxa"/>
            <w:vAlign w:val="center"/>
          </w:tcPr>
          <w:p w:rsidR="008D580B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/>
                <w:szCs w:val="21"/>
              </w:rPr>
              <w:t>一、立项背景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 w:firstLineChars="200" w:firstLine="42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国际海事组织（IMO）于2018年通过《IMO船舶温室气体减排初步战略》，制定了航运业在2008年基准上，至2030年碳排放强度降低40%，2050年温室气体年度总排放量降低50%的目标。我国也积极响应，落实推进实现“双碳”目标，加快推进新能源和清洁能源船舶的发展。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 w:firstLineChars="200" w:firstLine="42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广船国际为适应船舶“绿色低碳，节能减排”，以及落实国家“双碳”战略、“安全”战略，引领世界船舶发展潮流，开展了“5万吨级智能甲醇双燃料化学品船研制”项目的研制工作。</w:t>
            </w:r>
          </w:p>
          <w:p w:rsidR="008D580B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二、研究目标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 w:firstLineChars="200" w:firstLine="42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自主研制一型4.99万级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甲醇双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燃料化学品/成品油船，主要技术指标如下：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 w:firstLineChars="200" w:firstLine="42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总长：～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>186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米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 w:firstLineChars="200" w:firstLine="42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型宽：～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>32.2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米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 w:firstLineChars="200" w:firstLine="42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型深：～1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>8.35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米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 w:firstLineChars="200" w:firstLine="42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最大载重量：≥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>49900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吨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 w:firstLineChars="200" w:firstLine="42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采用甲醇、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燃油双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燃料系统，采用甲醇水合物、燃油水合物满足</w:t>
            </w:r>
            <w:proofErr w:type="spell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TierIII</w:t>
            </w:r>
            <w:proofErr w:type="spell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的</w:t>
            </w:r>
            <w:proofErr w:type="spell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NOx</w:t>
            </w:r>
            <w:proofErr w:type="spell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排放要求，取得挪威船级社D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>NVGL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低闪点燃油“LFL Fueled”入级符号。</w:t>
            </w:r>
          </w:p>
          <w:p w:rsidR="008D580B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:rsidR="008D580B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三、主要创新成果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1. 提出了利用CFD快速性模型尺度与实船尺度相结合的方法，对肥大船尾的尾流分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lastRenderedPageBreak/>
              <w:t>离进行分析，提升了超长平行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舯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体船型基于船模试验结果的实船快速性预报的精确度，获得了全球航行的优化节能线型和装货量最大化的综合性能效果，对CO2减排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能效指数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较韩国HMD同类船舶降低约2%。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2. 国内首次提出甲醇、燃油、甲醇水合物及燃油水合物四种燃料模式在船舶应用的设计技术，解决了甲醇燃料作为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危化品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在船舶安全应用技术难题，突破了甲醇燃料供给、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惰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化吹扫、安全监测及通风消防系统设计的关键技术，实现了甲醇燃料与常规燃油船舶应用的等效安全性。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3.首次提出货品洗舱水舱兼做甲醇燃料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存储舱且与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相邻燃油舱和货舱不设隔离空舱的技术，解决了因甲醇燃料体积能量密度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小导致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续航能力不足，以及甲醇燃料应用导致货舱舱容损失的难题，突破了甲醇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燃料储舱等效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设计的技术瓶颈，实现了甲醇作为主燃料舱容的最大化。</w:t>
            </w:r>
          </w:p>
          <w:p w:rsidR="008D580B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:rsidR="008D580B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四、应用情况</w:t>
            </w:r>
          </w:p>
          <w:p w:rsidR="008D580B" w:rsidRPr="00A91978" w:rsidRDefault="008D580B" w:rsidP="00111994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本项目作为国内首艘大型远洋甲醇燃料船舶，各项技术性能指标优秀，该项目的研究成果在船舶领域转化良好并应用广泛，创造了极大的经济效益、环境效益和社会效益。</w:t>
            </w:r>
          </w:p>
          <w:p w:rsidR="008D580B" w:rsidRPr="00A91978" w:rsidRDefault="008D580B" w:rsidP="00111994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/>
                <w:szCs w:val="21"/>
              </w:rPr>
              <w:t>随着研制项目的首制船在</w:t>
            </w:r>
            <w:r w:rsidRPr="00A91978">
              <w:rPr>
                <w:rFonts w:ascii="仿宋" w:eastAsia="仿宋" w:hAnsi="仿宋" w:hint="eastAsia"/>
                <w:szCs w:val="21"/>
              </w:rPr>
              <w:t>2022年6月</w:t>
            </w:r>
            <w:r w:rsidRPr="00A91978">
              <w:rPr>
                <w:rFonts w:ascii="仿宋" w:eastAsia="仿宋" w:hAnsi="仿宋"/>
                <w:szCs w:val="21"/>
              </w:rPr>
              <w:t>成功交付，广船国际后续在</w:t>
            </w:r>
            <w:r w:rsidRPr="00A91978">
              <w:rPr>
                <w:rFonts w:ascii="仿宋" w:eastAsia="仿宋" w:hAnsi="仿宋" w:hint="eastAsia"/>
                <w:szCs w:val="21"/>
              </w:rPr>
              <w:t>同类型产品的接单量大增，2023年新增订单10艘，2024年新增合同订单2艘，合同金额超40亿人民币。</w:t>
            </w:r>
          </w:p>
          <w:p w:rsidR="008D580B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:rsidR="008D580B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五、社会经济效益</w:t>
            </w:r>
          </w:p>
          <w:p w:rsidR="008D580B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:rsidR="008D580B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（1）本项目依托建造的4.99万吨</w:t>
            </w:r>
            <w:proofErr w:type="gramStart"/>
            <w:r w:rsidRPr="00A91978">
              <w:rPr>
                <w:rFonts w:ascii="仿宋" w:eastAsia="仿宋" w:hAnsi="仿宋" w:hint="eastAsia"/>
                <w:szCs w:val="21"/>
              </w:rPr>
              <w:t>甲醇双</w:t>
            </w:r>
            <w:proofErr w:type="gramEnd"/>
            <w:r w:rsidRPr="00A91978">
              <w:rPr>
                <w:rFonts w:ascii="仿宋" w:eastAsia="仿宋" w:hAnsi="仿宋" w:hint="eastAsia"/>
                <w:szCs w:val="21"/>
              </w:rPr>
              <w:t>燃料化学品/成品油船，荣获2022年度船舶工业"十大创新产品"荣誉称号，揭开了中国船舶工业为全球航运业提供甲醇动力远洋船舶的序幕。</w:t>
            </w:r>
          </w:p>
          <w:p w:rsidR="008D580B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（2）本项目的成功研发和在海洋装备领域的推广应用，充分发挥市场主导作用，引导甲醇供给产业链上下游企业主动参与，从甲醇燃料生产，运输，储存，加注等方面建立完整的甲醇燃料生态产业链，同时推动装备制造业研制生产适用于甲醇燃料围护、供给设备，完善甲醇燃料供给系统配套，对国内航运燃料产业布局有着积极的意义。</w:t>
            </w:r>
          </w:p>
          <w:p w:rsidR="00145C70" w:rsidRPr="00A91978" w:rsidRDefault="008D580B" w:rsidP="00111994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 w:rsidRPr="00A91978">
              <w:rPr>
                <w:rFonts w:ascii="仿宋" w:eastAsia="仿宋" w:hAnsi="仿宋" w:hint="eastAsia"/>
                <w:szCs w:val="21"/>
              </w:rPr>
              <w:t>（3）该项目的成功应用，标志着我国已经掌握大型船舶甲醇燃料应用技术，甲醇燃料船舶也由化学品船向其它多种船型进行转型，如甲醇集装箱船、散货船等，为我国承接其它大型甲醇燃料船舶订单起到良好的示范效应作用。</w:t>
            </w:r>
          </w:p>
        </w:tc>
      </w:tr>
      <w:tr w:rsidR="00145C70" w:rsidTr="00C0534C">
        <w:trPr>
          <w:trHeight w:val="1975"/>
          <w:jc w:val="center"/>
        </w:trPr>
        <w:tc>
          <w:tcPr>
            <w:tcW w:w="1615" w:type="dxa"/>
            <w:vAlign w:val="center"/>
          </w:tcPr>
          <w:p w:rsidR="00145C70" w:rsidRDefault="00145C70" w:rsidP="007440BD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 w:rsidRPr="00CE1A19">
              <w:rPr>
                <w:rFonts w:ascii="仿宋" w:eastAsia="仿宋" w:hAnsi="仿宋"/>
                <w:b/>
                <w:bCs/>
              </w:rPr>
              <w:lastRenderedPageBreak/>
              <w:t>客观评价</w:t>
            </w:r>
          </w:p>
        </w:tc>
        <w:tc>
          <w:tcPr>
            <w:tcW w:w="7849" w:type="dxa"/>
            <w:vAlign w:val="center"/>
          </w:tcPr>
          <w:p w:rsidR="008D580B" w:rsidRPr="00A91978" w:rsidRDefault="008D580B" w:rsidP="00111994">
            <w:pPr>
              <w:pStyle w:val="2"/>
              <w:spacing w:after="0" w:line="400" w:lineRule="exact"/>
              <w:ind w:left="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本项目研究前，世界上仅有17型甲醇船舶，均由日本或韩国建造,甲醇燃料船舶仍处于探索前期，在大型、远洋船舶中甲醇仅能作为辅助燃料。本项目研究后,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 xml:space="preserve"> 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甲醇燃料作为船舶的主燃料，广船国际设计的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甲醇双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燃料船与国际先进船型（韩国）设计相比较，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 xml:space="preserve"> EEDI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值降低超过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>11%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。</w:t>
            </w:r>
          </w:p>
          <w:p w:rsidR="008D580B" w:rsidRPr="00A91978" w:rsidRDefault="008D580B" w:rsidP="00111994">
            <w:pPr>
              <w:pStyle w:val="2"/>
              <w:spacing w:after="0" w:line="400" w:lineRule="exact"/>
              <w:ind w:left="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本项目研究成果按照“海洋运输船主要性能水平评级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 xml:space="preserve"> GB/T 37473-2019”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，与韩国HMD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甲醇双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燃料化学品船作为对标的先进船型相比得分为10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>6.2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，属于特级。</w:t>
            </w:r>
          </w:p>
          <w:tbl>
            <w:tblPr>
              <w:tblW w:w="68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5"/>
              <w:gridCol w:w="2095"/>
              <w:gridCol w:w="882"/>
              <w:gridCol w:w="992"/>
              <w:gridCol w:w="772"/>
              <w:gridCol w:w="771"/>
              <w:gridCol w:w="772"/>
            </w:tblGrid>
            <w:tr w:rsidR="008D580B" w:rsidRPr="00A91978" w:rsidTr="008D580B">
              <w:trPr>
                <w:trHeight w:val="725"/>
                <w:jc w:val="center"/>
              </w:trPr>
              <w:tc>
                <w:tcPr>
                  <w:tcW w:w="52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209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评级</w:t>
                  </w:r>
                </w:p>
              </w:tc>
              <w:tc>
                <w:tcPr>
                  <w:tcW w:w="88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载重量与主尺度比值</w:t>
                  </w:r>
                </w:p>
              </w:tc>
              <w:tc>
                <w:tcPr>
                  <w:tcW w:w="99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载重量、航速与主机功率比值</w:t>
                  </w:r>
                </w:p>
              </w:tc>
              <w:tc>
                <w:tcPr>
                  <w:tcW w:w="77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舱容利用率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船舶能效设计指数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总吨位与载重量比值</w:t>
                  </w:r>
                </w:p>
              </w:tc>
            </w:tr>
            <w:tr w:rsidR="008D580B" w:rsidRPr="00A91978" w:rsidTr="008D580B">
              <w:trPr>
                <w:trHeight w:val="238"/>
                <w:jc w:val="center"/>
              </w:trPr>
              <w:tc>
                <w:tcPr>
                  <w:tcW w:w="52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</w:t>
                  </w:r>
                </w:p>
              </w:tc>
              <w:tc>
                <w:tcPr>
                  <w:tcW w:w="209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标准分数</w:t>
                  </w:r>
                </w:p>
              </w:tc>
              <w:tc>
                <w:tcPr>
                  <w:tcW w:w="88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20</w:t>
                  </w:r>
                </w:p>
              </w:tc>
              <w:tc>
                <w:tcPr>
                  <w:tcW w:w="99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30</w:t>
                  </w:r>
                </w:p>
              </w:tc>
              <w:tc>
                <w:tcPr>
                  <w:tcW w:w="77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10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30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10</w:t>
                  </w:r>
                </w:p>
              </w:tc>
            </w:tr>
            <w:tr w:rsidR="008D580B" w:rsidRPr="00A91978" w:rsidTr="008D580B">
              <w:trPr>
                <w:trHeight w:val="238"/>
                <w:jc w:val="center"/>
              </w:trPr>
              <w:tc>
                <w:tcPr>
                  <w:tcW w:w="52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2</w:t>
                  </w:r>
                </w:p>
              </w:tc>
              <w:tc>
                <w:tcPr>
                  <w:tcW w:w="209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评级</w:t>
                  </w:r>
                  <w:proofErr w:type="gramStart"/>
                  <w:r w:rsidRPr="00A91978">
                    <w:rPr>
                      <w:rFonts w:ascii="仿宋" w:eastAsia="仿宋" w:hAnsi="仿宋" w:hint="eastAsia"/>
                      <w:szCs w:val="21"/>
                    </w:rPr>
                    <w:t>船指标</w:t>
                  </w:r>
                  <w:proofErr w:type="gramEnd"/>
                </w:p>
              </w:tc>
              <w:tc>
                <w:tcPr>
                  <w:tcW w:w="88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0.455</w:t>
                  </w:r>
                </w:p>
              </w:tc>
              <w:tc>
                <w:tcPr>
                  <w:tcW w:w="99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656.999</w:t>
                  </w:r>
                </w:p>
              </w:tc>
              <w:tc>
                <w:tcPr>
                  <w:tcW w:w="77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0.499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0.650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0.600</w:t>
                  </w:r>
                </w:p>
              </w:tc>
            </w:tr>
            <w:tr w:rsidR="008D580B" w:rsidRPr="00A91978" w:rsidTr="008D580B">
              <w:trPr>
                <w:trHeight w:val="238"/>
                <w:jc w:val="center"/>
              </w:trPr>
              <w:tc>
                <w:tcPr>
                  <w:tcW w:w="52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3</w:t>
                  </w:r>
                </w:p>
              </w:tc>
              <w:tc>
                <w:tcPr>
                  <w:tcW w:w="209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先进船舶指标</w:t>
                  </w:r>
                </w:p>
              </w:tc>
              <w:tc>
                <w:tcPr>
                  <w:tcW w:w="88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0.437</w:t>
                  </w:r>
                </w:p>
              </w:tc>
              <w:tc>
                <w:tcPr>
                  <w:tcW w:w="99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597.821</w:t>
                  </w:r>
                </w:p>
              </w:tc>
              <w:tc>
                <w:tcPr>
                  <w:tcW w:w="77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0.481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0.708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0.610</w:t>
                  </w:r>
                </w:p>
              </w:tc>
            </w:tr>
            <w:tr w:rsidR="008D580B" w:rsidRPr="00A91978" w:rsidTr="008D580B">
              <w:trPr>
                <w:trHeight w:val="238"/>
                <w:jc w:val="center"/>
              </w:trPr>
              <w:tc>
                <w:tcPr>
                  <w:tcW w:w="52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4</w:t>
                  </w:r>
                </w:p>
              </w:tc>
              <w:tc>
                <w:tcPr>
                  <w:tcW w:w="209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比值</w:t>
                  </w:r>
                </w:p>
              </w:tc>
              <w:tc>
                <w:tcPr>
                  <w:tcW w:w="88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1.041</w:t>
                  </w:r>
                </w:p>
              </w:tc>
              <w:tc>
                <w:tcPr>
                  <w:tcW w:w="99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1.078</w:t>
                  </w:r>
                </w:p>
              </w:tc>
              <w:tc>
                <w:tcPr>
                  <w:tcW w:w="77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1.020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1.089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1.016</w:t>
                  </w:r>
                </w:p>
              </w:tc>
            </w:tr>
            <w:tr w:rsidR="008D580B" w:rsidRPr="00A91978" w:rsidTr="008D580B">
              <w:trPr>
                <w:trHeight w:val="238"/>
                <w:jc w:val="center"/>
              </w:trPr>
              <w:tc>
                <w:tcPr>
                  <w:tcW w:w="52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5</w:t>
                  </w:r>
                </w:p>
              </w:tc>
              <w:tc>
                <w:tcPr>
                  <w:tcW w:w="209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得分</w:t>
                  </w:r>
                </w:p>
              </w:tc>
              <w:tc>
                <w:tcPr>
                  <w:tcW w:w="88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20.81</w:t>
                  </w:r>
                </w:p>
              </w:tc>
              <w:tc>
                <w:tcPr>
                  <w:tcW w:w="99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32.34</w:t>
                  </w:r>
                </w:p>
              </w:tc>
              <w:tc>
                <w:tcPr>
                  <w:tcW w:w="772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10.20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32.677</w:t>
                  </w:r>
                </w:p>
              </w:tc>
              <w:tc>
                <w:tcPr>
                  <w:tcW w:w="771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10.164</w:t>
                  </w:r>
                </w:p>
              </w:tc>
            </w:tr>
            <w:tr w:rsidR="008D580B" w:rsidRPr="00A91978" w:rsidTr="008D580B">
              <w:trPr>
                <w:trHeight w:val="487"/>
                <w:jc w:val="center"/>
              </w:trPr>
              <w:tc>
                <w:tcPr>
                  <w:tcW w:w="52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6</w:t>
                  </w:r>
                </w:p>
              </w:tc>
              <w:tc>
                <w:tcPr>
                  <w:tcW w:w="2095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相较于先进船舶，评级</w:t>
                  </w:r>
                  <w:proofErr w:type="gramStart"/>
                  <w:r w:rsidRPr="00A91978">
                    <w:rPr>
                      <w:rFonts w:ascii="仿宋" w:eastAsia="仿宋" w:hAnsi="仿宋" w:hint="eastAsia"/>
                      <w:szCs w:val="21"/>
                    </w:rPr>
                    <w:t>船指标</w:t>
                  </w:r>
                  <w:proofErr w:type="gramEnd"/>
                  <w:r w:rsidRPr="00A91978">
                    <w:rPr>
                      <w:rFonts w:ascii="仿宋" w:eastAsia="仿宋" w:hAnsi="仿宋" w:hint="eastAsia"/>
                      <w:szCs w:val="21"/>
                    </w:rPr>
                    <w:t>总评分</w:t>
                  </w:r>
                </w:p>
              </w:tc>
              <w:tc>
                <w:tcPr>
                  <w:tcW w:w="4189" w:type="dxa"/>
                  <w:gridSpan w:val="5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106.2</w:t>
                  </w:r>
                </w:p>
              </w:tc>
            </w:tr>
          </w:tbl>
          <w:p w:rsidR="008D580B" w:rsidRPr="00A91978" w:rsidRDefault="008D580B" w:rsidP="00111994">
            <w:pPr>
              <w:pStyle w:val="2"/>
              <w:spacing w:after="0" w:line="360" w:lineRule="auto"/>
              <w:ind w:left="0" w:firstLineChars="200" w:firstLine="42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</w:p>
          <w:p w:rsidR="008D580B" w:rsidRPr="00A91978" w:rsidRDefault="008D580B" w:rsidP="00111994">
            <w:pPr>
              <w:pStyle w:val="2"/>
              <w:spacing w:after="0" w:line="360" w:lineRule="auto"/>
              <w:ind w:left="0" w:firstLineChars="200" w:firstLine="420"/>
              <w:textAlignment w:val="baseline"/>
              <w:rPr>
                <w:rFonts w:ascii="仿宋" w:eastAsia="仿宋" w:hAnsi="仿宋" w:cstheme="minorBidi"/>
                <w:sz w:val="21"/>
                <w:szCs w:val="21"/>
              </w:rPr>
            </w:pP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若扣除甲醇和</w:t>
            </w:r>
            <w:proofErr w:type="gramStart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轴发带</w:t>
            </w:r>
            <w:proofErr w:type="gramEnd"/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来的贡献，两型船均基于燃油模式计算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>EEDI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。按照“海洋运输船主要性能水平评级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 xml:space="preserve"> GB/T 37473-2019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”，本项目得分为</w:t>
            </w:r>
            <w:r w:rsidRPr="00A91978">
              <w:rPr>
                <w:rFonts w:ascii="仿宋" w:eastAsia="仿宋" w:hAnsi="仿宋" w:cstheme="minorBidi"/>
                <w:sz w:val="21"/>
                <w:szCs w:val="21"/>
              </w:rPr>
              <w:t>104.3</w:t>
            </w:r>
            <w:r w:rsidRPr="00A91978">
              <w:rPr>
                <w:rFonts w:ascii="仿宋" w:eastAsia="仿宋" w:hAnsi="仿宋" w:cstheme="minorBidi" w:hint="eastAsia"/>
                <w:sz w:val="21"/>
                <w:szCs w:val="21"/>
              </w:rPr>
              <w:t>，属于特级。</w:t>
            </w:r>
          </w:p>
          <w:tbl>
            <w:tblPr>
              <w:tblW w:w="72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58"/>
              <w:gridCol w:w="2226"/>
              <w:gridCol w:w="937"/>
              <w:gridCol w:w="1053"/>
              <w:gridCol w:w="820"/>
              <w:gridCol w:w="820"/>
              <w:gridCol w:w="820"/>
            </w:tblGrid>
            <w:tr w:rsidR="008D580B" w:rsidRPr="00A91978" w:rsidTr="008D580B">
              <w:trPr>
                <w:trHeight w:val="642"/>
                <w:jc w:val="center"/>
              </w:trPr>
              <w:tc>
                <w:tcPr>
                  <w:tcW w:w="558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序号</w:t>
                  </w:r>
                </w:p>
              </w:tc>
              <w:tc>
                <w:tcPr>
                  <w:tcW w:w="2226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评级</w:t>
                  </w:r>
                </w:p>
              </w:tc>
              <w:tc>
                <w:tcPr>
                  <w:tcW w:w="937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载重量与主尺度比值</w:t>
                  </w:r>
                </w:p>
              </w:tc>
              <w:tc>
                <w:tcPr>
                  <w:tcW w:w="1053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载重量、航速与主机功率比值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舱容利用率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船舶能效设计指数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总吨位与载重量比值</w:t>
                  </w:r>
                </w:p>
              </w:tc>
            </w:tr>
            <w:tr w:rsidR="008D580B" w:rsidRPr="00A91978" w:rsidTr="008D580B">
              <w:trPr>
                <w:trHeight w:val="214"/>
                <w:jc w:val="center"/>
              </w:trPr>
              <w:tc>
                <w:tcPr>
                  <w:tcW w:w="558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</w:t>
                  </w:r>
                </w:p>
              </w:tc>
              <w:tc>
                <w:tcPr>
                  <w:tcW w:w="2226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标准分数</w:t>
                  </w:r>
                </w:p>
              </w:tc>
              <w:tc>
                <w:tcPr>
                  <w:tcW w:w="937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20</w:t>
                  </w:r>
                </w:p>
              </w:tc>
              <w:tc>
                <w:tcPr>
                  <w:tcW w:w="1053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30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10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30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10</w:t>
                  </w:r>
                </w:p>
              </w:tc>
            </w:tr>
            <w:tr w:rsidR="008D580B" w:rsidRPr="00A91978" w:rsidTr="008D580B">
              <w:trPr>
                <w:trHeight w:val="214"/>
                <w:jc w:val="center"/>
              </w:trPr>
              <w:tc>
                <w:tcPr>
                  <w:tcW w:w="558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2</w:t>
                  </w:r>
                </w:p>
              </w:tc>
              <w:tc>
                <w:tcPr>
                  <w:tcW w:w="2226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评级</w:t>
                  </w:r>
                  <w:proofErr w:type="gramStart"/>
                  <w:r w:rsidRPr="00A91978">
                    <w:rPr>
                      <w:rFonts w:ascii="仿宋" w:eastAsia="仿宋" w:hAnsi="仿宋" w:hint="eastAsia"/>
                      <w:szCs w:val="21"/>
                    </w:rPr>
                    <w:t>船指标</w:t>
                  </w:r>
                  <w:proofErr w:type="gramEnd"/>
                </w:p>
              </w:tc>
              <w:tc>
                <w:tcPr>
                  <w:tcW w:w="937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0.455</w:t>
                  </w:r>
                </w:p>
              </w:tc>
              <w:tc>
                <w:tcPr>
                  <w:tcW w:w="1053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656.999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0.499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0.691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0.600</w:t>
                  </w:r>
                </w:p>
              </w:tc>
            </w:tr>
            <w:tr w:rsidR="008D580B" w:rsidRPr="00A91978" w:rsidTr="008D580B">
              <w:trPr>
                <w:trHeight w:val="214"/>
                <w:jc w:val="center"/>
              </w:trPr>
              <w:tc>
                <w:tcPr>
                  <w:tcW w:w="558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3</w:t>
                  </w:r>
                </w:p>
              </w:tc>
              <w:tc>
                <w:tcPr>
                  <w:tcW w:w="2226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先进船舶指标</w:t>
                  </w:r>
                </w:p>
              </w:tc>
              <w:tc>
                <w:tcPr>
                  <w:tcW w:w="937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0.437</w:t>
                  </w:r>
                </w:p>
              </w:tc>
              <w:tc>
                <w:tcPr>
                  <w:tcW w:w="1053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597.821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0.481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0.708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0.610</w:t>
                  </w:r>
                </w:p>
              </w:tc>
            </w:tr>
            <w:tr w:rsidR="008D580B" w:rsidRPr="00A91978" w:rsidTr="008D580B">
              <w:trPr>
                <w:trHeight w:val="214"/>
                <w:jc w:val="center"/>
              </w:trPr>
              <w:tc>
                <w:tcPr>
                  <w:tcW w:w="558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4</w:t>
                  </w:r>
                </w:p>
              </w:tc>
              <w:tc>
                <w:tcPr>
                  <w:tcW w:w="2226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比值</w:t>
                  </w:r>
                </w:p>
              </w:tc>
              <w:tc>
                <w:tcPr>
                  <w:tcW w:w="937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1.041</w:t>
                  </w:r>
                </w:p>
              </w:tc>
              <w:tc>
                <w:tcPr>
                  <w:tcW w:w="1053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1.078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1.020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1.025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1.016</w:t>
                  </w:r>
                </w:p>
              </w:tc>
            </w:tr>
            <w:tr w:rsidR="008D580B" w:rsidRPr="00A91978" w:rsidTr="008D580B">
              <w:trPr>
                <w:trHeight w:val="214"/>
                <w:jc w:val="center"/>
              </w:trPr>
              <w:tc>
                <w:tcPr>
                  <w:tcW w:w="558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5</w:t>
                  </w:r>
                </w:p>
              </w:tc>
              <w:tc>
                <w:tcPr>
                  <w:tcW w:w="2226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得分</w:t>
                  </w:r>
                </w:p>
              </w:tc>
              <w:tc>
                <w:tcPr>
                  <w:tcW w:w="937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20.81</w:t>
                  </w:r>
                </w:p>
              </w:tc>
              <w:tc>
                <w:tcPr>
                  <w:tcW w:w="1053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32.34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10.20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30.738</w:t>
                  </w:r>
                </w:p>
              </w:tc>
              <w:tc>
                <w:tcPr>
                  <w:tcW w:w="820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10.164</w:t>
                  </w:r>
                </w:p>
              </w:tc>
            </w:tr>
            <w:tr w:rsidR="008D580B" w:rsidRPr="00A91978" w:rsidTr="008D580B">
              <w:trPr>
                <w:trHeight w:val="438"/>
                <w:jc w:val="center"/>
              </w:trPr>
              <w:tc>
                <w:tcPr>
                  <w:tcW w:w="558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6</w:t>
                  </w:r>
                </w:p>
              </w:tc>
              <w:tc>
                <w:tcPr>
                  <w:tcW w:w="2226" w:type="dxa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 w:hint="eastAsia"/>
                      <w:szCs w:val="21"/>
                    </w:rPr>
                    <w:t>相较于先进船舶，评级</w:t>
                  </w:r>
                  <w:proofErr w:type="gramStart"/>
                  <w:r w:rsidRPr="00A91978">
                    <w:rPr>
                      <w:rFonts w:ascii="仿宋" w:eastAsia="仿宋" w:hAnsi="仿宋" w:hint="eastAsia"/>
                      <w:szCs w:val="21"/>
                    </w:rPr>
                    <w:t>船指标</w:t>
                  </w:r>
                  <w:proofErr w:type="gramEnd"/>
                  <w:r w:rsidRPr="00A91978">
                    <w:rPr>
                      <w:rFonts w:ascii="仿宋" w:eastAsia="仿宋" w:hAnsi="仿宋" w:hint="eastAsia"/>
                      <w:szCs w:val="21"/>
                    </w:rPr>
                    <w:t>总评分</w:t>
                  </w:r>
                </w:p>
              </w:tc>
              <w:tc>
                <w:tcPr>
                  <w:tcW w:w="4450" w:type="dxa"/>
                  <w:gridSpan w:val="5"/>
                  <w:vAlign w:val="center"/>
                </w:tcPr>
                <w:p w:rsidR="008D580B" w:rsidRPr="00A91978" w:rsidRDefault="008D580B" w:rsidP="00145457">
                  <w:pPr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A91978">
                    <w:rPr>
                      <w:rFonts w:ascii="仿宋" w:eastAsia="仿宋" w:hAnsi="仿宋"/>
                      <w:szCs w:val="21"/>
                    </w:rPr>
                    <w:t>104.3</w:t>
                  </w:r>
                </w:p>
              </w:tc>
            </w:tr>
          </w:tbl>
          <w:p w:rsidR="00145C70" w:rsidRPr="00A91978" w:rsidRDefault="00145C70" w:rsidP="00884F8F">
            <w:pPr>
              <w:spacing w:line="400" w:lineRule="exact"/>
              <w:ind w:firstLineChars="200" w:firstLine="420"/>
              <w:rPr>
                <w:rFonts w:ascii="仿宋" w:eastAsia="仿宋" w:hAnsi="仿宋"/>
                <w:szCs w:val="21"/>
              </w:rPr>
            </w:pPr>
          </w:p>
        </w:tc>
      </w:tr>
      <w:tr w:rsidR="00C0534C" w:rsidTr="0027498D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:rsidR="00C0534C" w:rsidRDefault="00C0534C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 w:rsidRPr="00CE1A19">
              <w:rPr>
                <w:rFonts w:ascii="仿宋" w:eastAsia="仿宋" w:hAnsi="仿宋"/>
                <w:b/>
                <w:bCs/>
              </w:rPr>
              <w:t>主要知识产权目录</w:t>
            </w:r>
          </w:p>
        </w:tc>
        <w:tc>
          <w:tcPr>
            <w:tcW w:w="7849" w:type="dxa"/>
            <w:vAlign w:val="center"/>
          </w:tcPr>
          <w:p w:rsidR="00C0534C" w:rsidRPr="00A91978" w:rsidRDefault="00C0534C" w:rsidP="00145C70">
            <w:pPr>
              <w:pStyle w:val="af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发明专利：</w:t>
            </w:r>
            <w:r w:rsidR="004F59F2"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一种船用甲醇供给系统(</w:t>
            </w:r>
            <w:r w:rsidR="004F59F2"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ZL202110725243.1</w:t>
            </w:r>
            <w:r w:rsidR="004F59F2"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)</w:t>
            </w:r>
          </w:p>
        </w:tc>
      </w:tr>
      <w:tr w:rsidR="00C0534C" w:rsidTr="0027498D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C0534C" w:rsidRPr="00CE1A19" w:rsidRDefault="00C0534C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C0534C" w:rsidRPr="00A91978" w:rsidRDefault="004F59F2" w:rsidP="00145C70">
            <w:pPr>
              <w:pStyle w:val="af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发明专利：甲醇燃料围护系统及船舶(</w:t>
            </w: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ZL202110829597.0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)</w:t>
            </w:r>
          </w:p>
        </w:tc>
      </w:tr>
      <w:tr w:rsidR="00C0534C" w:rsidTr="0027498D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C0534C" w:rsidRPr="00CE1A19" w:rsidRDefault="00C0534C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C0534C" w:rsidRPr="00A91978" w:rsidRDefault="00201C43" w:rsidP="00145C70">
            <w:pPr>
              <w:pStyle w:val="af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发明专利：一种甲醇泵舱的舱底水系统及双燃料驱动的船舶（</w:t>
            </w: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ZL202110724229.X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</w:tr>
      <w:tr w:rsidR="00C0534C" w:rsidTr="0027498D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C0534C" w:rsidRPr="00CE1A19" w:rsidRDefault="00C0534C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C0534C" w:rsidRPr="00A91978" w:rsidRDefault="00201C43" w:rsidP="00145C70">
            <w:pPr>
              <w:pStyle w:val="af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发明专利：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一种</w:t>
            </w:r>
            <w:proofErr w:type="gramStart"/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甲醇双</w:t>
            </w:r>
            <w:proofErr w:type="gramEnd"/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燃料船舶日用柜的补给系统及其使用方法（</w:t>
            </w: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ZL202110725606.1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</w:tr>
      <w:tr w:rsidR="00C0534C" w:rsidTr="0027498D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C0534C" w:rsidRPr="00CE1A19" w:rsidRDefault="00C0534C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C0534C" w:rsidRPr="00A91978" w:rsidRDefault="00201C43" w:rsidP="00145C70">
            <w:pPr>
              <w:pStyle w:val="af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发明专利：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一种船舶甲醇燃料安全系统（</w:t>
            </w: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ZL202311324745.9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</w:tr>
      <w:tr w:rsidR="00C0534C" w:rsidTr="0027498D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C0534C" w:rsidRPr="00CE1A19" w:rsidRDefault="00C0534C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C0534C" w:rsidRPr="00A91978" w:rsidRDefault="00201C43" w:rsidP="00145C70">
            <w:pPr>
              <w:pStyle w:val="af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发明专利：一种船舶甲醇供给舱室、双燃料船舶及控制方法（</w:t>
            </w: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ZL202110739678.1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</w:tr>
      <w:tr w:rsidR="00C0534C" w:rsidTr="0027498D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C0534C" w:rsidRPr="00CE1A19" w:rsidRDefault="00C0534C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C0534C" w:rsidRPr="00A91978" w:rsidRDefault="00201C43" w:rsidP="00145C70">
            <w:pPr>
              <w:pStyle w:val="af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发明专利：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一种</w:t>
            </w:r>
            <w:proofErr w:type="gramStart"/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甲醇双</w:t>
            </w:r>
            <w:proofErr w:type="gramEnd"/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燃料船居住区空调系统（</w:t>
            </w: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ZL202110691649.2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</w:tr>
      <w:tr w:rsidR="00C0534C" w:rsidRPr="00C0534C" w:rsidTr="0027498D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C0534C" w:rsidRPr="00CE1A19" w:rsidRDefault="00C0534C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C0534C" w:rsidRPr="00A91978" w:rsidRDefault="00201C43" w:rsidP="00145C70">
            <w:pPr>
              <w:pStyle w:val="af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发明专利：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一种管路布置装置、船舶及管路控制方法（</w:t>
            </w: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ZL202110693198.6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</w:tr>
      <w:tr w:rsidR="00201C43" w:rsidRPr="00C0534C" w:rsidTr="0027498D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201C43" w:rsidRPr="00CE1A19" w:rsidRDefault="00201C43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201C43" w:rsidRPr="00A91978" w:rsidRDefault="00201C43" w:rsidP="00145C70">
            <w:pPr>
              <w:pStyle w:val="af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发明专利：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一种船舶</w:t>
            </w:r>
            <w:proofErr w:type="gramStart"/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氮气室</w:t>
            </w:r>
            <w:proofErr w:type="gramEnd"/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通风系统（</w:t>
            </w: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ZL202110693212.2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</w:tr>
      <w:tr w:rsidR="00C0534C" w:rsidRPr="00C0534C" w:rsidTr="0027498D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:rsidR="00C0534C" w:rsidRPr="00CE1A19" w:rsidRDefault="00C0534C" w:rsidP="00BA6019">
            <w:pPr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:rsidR="00C0534C" w:rsidRPr="00A91978" w:rsidRDefault="00201C43" w:rsidP="00145C70">
            <w:pPr>
              <w:pStyle w:val="af0"/>
              <w:spacing w:line="240" w:lineRule="auto"/>
              <w:ind w:firstLineChars="0" w:firstLine="0"/>
              <w:jc w:val="left"/>
              <w:rPr>
                <w:rFonts w:ascii="仿宋" w:eastAsia="仿宋" w:hAnsi="仿宋"/>
                <w:color w:val="000000"/>
                <w:sz w:val="21"/>
                <w:szCs w:val="21"/>
              </w:rPr>
            </w:pP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发明专利：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一种用于船舶的氮气系统及船舶（</w:t>
            </w:r>
            <w:r w:rsidRPr="00A91978">
              <w:rPr>
                <w:rFonts w:ascii="仿宋" w:eastAsia="仿宋" w:hAnsi="仿宋"/>
                <w:color w:val="000000"/>
                <w:sz w:val="21"/>
                <w:szCs w:val="21"/>
              </w:rPr>
              <w:t>ZL202110730017.2</w:t>
            </w:r>
            <w:r w:rsidRPr="00A91978">
              <w:rPr>
                <w:rFonts w:ascii="仿宋" w:eastAsia="仿宋" w:hAnsi="仿宋" w:hint="eastAsia"/>
                <w:color w:val="000000"/>
                <w:sz w:val="21"/>
                <w:szCs w:val="21"/>
              </w:rPr>
              <w:t>）</w:t>
            </w:r>
          </w:p>
        </w:tc>
      </w:tr>
    </w:tbl>
    <w:p w:rsidR="00424599" w:rsidRPr="00424599" w:rsidRDefault="00424599">
      <w:pPr>
        <w:widowControl/>
        <w:jc w:val="left"/>
        <w:rPr>
          <w:rFonts w:ascii="仿宋" w:eastAsia="仿宋" w:hAnsi="仿宋" w:cs="Times New Roman"/>
          <w:sz w:val="32"/>
          <w:szCs w:val="32"/>
        </w:rPr>
      </w:pPr>
    </w:p>
    <w:sectPr w:rsidR="00424599" w:rsidRPr="00424599" w:rsidSect="00C55FF8">
      <w:footerReference w:type="default" r:id="rId7"/>
      <w:pgSz w:w="11906" w:h="16838"/>
      <w:pgMar w:top="1985" w:right="1134" w:bottom="1440" w:left="170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65E" w:rsidRDefault="003E465E" w:rsidP="00855137">
      <w:r>
        <w:separator/>
      </w:r>
    </w:p>
  </w:endnote>
  <w:endnote w:type="continuationSeparator" w:id="1">
    <w:p w:rsidR="003E465E" w:rsidRDefault="003E465E" w:rsidP="00855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C5A" w:rsidRDefault="002E16CB">
    <w:pPr>
      <w:pStyle w:val="a5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left:0;text-align:left;margin-left:9.3pt;margin-top:0;width:42.05pt;height:30.25pt;z-index:251661312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" filled="f" stroked="f" strokeweight="1.25pt">
          <v:textbox style="mso-fit-shape-to-text:t" inset="0,0,0,0">
            <w:txbxContent>
              <w:p w:rsidR="00B42C5A" w:rsidRDefault="002E16CB">
                <w:pPr>
                  <w:pStyle w:val="a5"/>
                  <w:rPr>
                    <w:rStyle w:val="ad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42C5A">
                  <w:rPr>
                    <w:rStyle w:val="ad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91978">
                  <w:rPr>
                    <w:rStyle w:val="ad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  <w:p w:rsidR="00B42C5A" w:rsidRDefault="00B42C5A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65E" w:rsidRDefault="003E465E" w:rsidP="00855137">
      <w:r>
        <w:separator/>
      </w:r>
    </w:p>
  </w:footnote>
  <w:footnote w:type="continuationSeparator" w:id="1">
    <w:p w:rsidR="003E465E" w:rsidRDefault="003E465E" w:rsidP="00855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43878"/>
    <w:multiLevelType w:val="hybridMultilevel"/>
    <w:tmpl w:val="6F36D6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95A"/>
    <w:rsid w:val="00003708"/>
    <w:rsid w:val="00036537"/>
    <w:rsid w:val="00080269"/>
    <w:rsid w:val="000959FC"/>
    <w:rsid w:val="00095A71"/>
    <w:rsid w:val="000B1C55"/>
    <w:rsid w:val="000C2908"/>
    <w:rsid w:val="000C2D2F"/>
    <w:rsid w:val="000D0155"/>
    <w:rsid w:val="000E5230"/>
    <w:rsid w:val="000E5B9A"/>
    <w:rsid w:val="000E640E"/>
    <w:rsid w:val="000F02CD"/>
    <w:rsid w:val="000F1EF7"/>
    <w:rsid w:val="001000CF"/>
    <w:rsid w:val="001023DA"/>
    <w:rsid w:val="00111994"/>
    <w:rsid w:val="0012033D"/>
    <w:rsid w:val="00122C7E"/>
    <w:rsid w:val="001240B6"/>
    <w:rsid w:val="001241D6"/>
    <w:rsid w:val="001342E5"/>
    <w:rsid w:val="00145C70"/>
    <w:rsid w:val="00155455"/>
    <w:rsid w:val="001605A3"/>
    <w:rsid w:val="001749C9"/>
    <w:rsid w:val="001A2255"/>
    <w:rsid w:val="001C4FF0"/>
    <w:rsid w:val="001E5C71"/>
    <w:rsid w:val="001F4357"/>
    <w:rsid w:val="00201C43"/>
    <w:rsid w:val="00215BC1"/>
    <w:rsid w:val="00225FBE"/>
    <w:rsid w:val="00232232"/>
    <w:rsid w:val="00271925"/>
    <w:rsid w:val="0027498D"/>
    <w:rsid w:val="002A1895"/>
    <w:rsid w:val="002A7752"/>
    <w:rsid w:val="002B55AD"/>
    <w:rsid w:val="002C7984"/>
    <w:rsid w:val="002D495A"/>
    <w:rsid w:val="002D5360"/>
    <w:rsid w:val="002D5421"/>
    <w:rsid w:val="002E11FC"/>
    <w:rsid w:val="002E16CB"/>
    <w:rsid w:val="002F2BA0"/>
    <w:rsid w:val="002F2E35"/>
    <w:rsid w:val="002F4BBF"/>
    <w:rsid w:val="0030207A"/>
    <w:rsid w:val="00304317"/>
    <w:rsid w:val="00324B95"/>
    <w:rsid w:val="00335243"/>
    <w:rsid w:val="00335CF6"/>
    <w:rsid w:val="003543E2"/>
    <w:rsid w:val="00355235"/>
    <w:rsid w:val="003618CB"/>
    <w:rsid w:val="00363B58"/>
    <w:rsid w:val="00363E73"/>
    <w:rsid w:val="003650B7"/>
    <w:rsid w:val="003A7B7F"/>
    <w:rsid w:val="003B1236"/>
    <w:rsid w:val="003C2D63"/>
    <w:rsid w:val="003C5871"/>
    <w:rsid w:val="003D2823"/>
    <w:rsid w:val="003E465E"/>
    <w:rsid w:val="0040006E"/>
    <w:rsid w:val="00405E74"/>
    <w:rsid w:val="0041300E"/>
    <w:rsid w:val="00424599"/>
    <w:rsid w:val="00424827"/>
    <w:rsid w:val="00430699"/>
    <w:rsid w:val="00431E48"/>
    <w:rsid w:val="00433CBE"/>
    <w:rsid w:val="00433E57"/>
    <w:rsid w:val="0044494F"/>
    <w:rsid w:val="00460169"/>
    <w:rsid w:val="00463562"/>
    <w:rsid w:val="00482F98"/>
    <w:rsid w:val="00496B4B"/>
    <w:rsid w:val="004A648A"/>
    <w:rsid w:val="004B2CE6"/>
    <w:rsid w:val="004E7888"/>
    <w:rsid w:val="004F4CBD"/>
    <w:rsid w:val="004F59F2"/>
    <w:rsid w:val="005039CE"/>
    <w:rsid w:val="00511A13"/>
    <w:rsid w:val="005231DD"/>
    <w:rsid w:val="00553AB5"/>
    <w:rsid w:val="00587609"/>
    <w:rsid w:val="0059566B"/>
    <w:rsid w:val="005D431C"/>
    <w:rsid w:val="005E415D"/>
    <w:rsid w:val="005F682D"/>
    <w:rsid w:val="00602123"/>
    <w:rsid w:val="00615181"/>
    <w:rsid w:val="006300A7"/>
    <w:rsid w:val="00632731"/>
    <w:rsid w:val="00644642"/>
    <w:rsid w:val="00655D5D"/>
    <w:rsid w:val="00664CFA"/>
    <w:rsid w:val="0067381B"/>
    <w:rsid w:val="00681E39"/>
    <w:rsid w:val="00693F00"/>
    <w:rsid w:val="006A0A3B"/>
    <w:rsid w:val="006B2D1F"/>
    <w:rsid w:val="006E424B"/>
    <w:rsid w:val="007006CB"/>
    <w:rsid w:val="0070314F"/>
    <w:rsid w:val="0070359F"/>
    <w:rsid w:val="00737507"/>
    <w:rsid w:val="007440BD"/>
    <w:rsid w:val="00745B07"/>
    <w:rsid w:val="00750A5F"/>
    <w:rsid w:val="00760129"/>
    <w:rsid w:val="00764E0E"/>
    <w:rsid w:val="00771B00"/>
    <w:rsid w:val="007A3F49"/>
    <w:rsid w:val="007C3F02"/>
    <w:rsid w:val="00833442"/>
    <w:rsid w:val="00855137"/>
    <w:rsid w:val="00862230"/>
    <w:rsid w:val="00867DDF"/>
    <w:rsid w:val="00871B4B"/>
    <w:rsid w:val="00884F8F"/>
    <w:rsid w:val="008C4D62"/>
    <w:rsid w:val="008D580B"/>
    <w:rsid w:val="008E103B"/>
    <w:rsid w:val="008E2821"/>
    <w:rsid w:val="008E51C8"/>
    <w:rsid w:val="008E5FBB"/>
    <w:rsid w:val="008E62F7"/>
    <w:rsid w:val="009008EC"/>
    <w:rsid w:val="0090784A"/>
    <w:rsid w:val="00916A5D"/>
    <w:rsid w:val="00917134"/>
    <w:rsid w:val="009244BA"/>
    <w:rsid w:val="0094182A"/>
    <w:rsid w:val="00971049"/>
    <w:rsid w:val="009A152B"/>
    <w:rsid w:val="009A5C88"/>
    <w:rsid w:val="009A7D7D"/>
    <w:rsid w:val="009D17A3"/>
    <w:rsid w:val="009D2684"/>
    <w:rsid w:val="00A03867"/>
    <w:rsid w:val="00A1386F"/>
    <w:rsid w:val="00A252D5"/>
    <w:rsid w:val="00A274C7"/>
    <w:rsid w:val="00A33ECC"/>
    <w:rsid w:val="00A4242D"/>
    <w:rsid w:val="00A57C25"/>
    <w:rsid w:val="00A633AF"/>
    <w:rsid w:val="00A65E1C"/>
    <w:rsid w:val="00A678D4"/>
    <w:rsid w:val="00A67E32"/>
    <w:rsid w:val="00A91978"/>
    <w:rsid w:val="00A97562"/>
    <w:rsid w:val="00AC170F"/>
    <w:rsid w:val="00AD2762"/>
    <w:rsid w:val="00AD39AC"/>
    <w:rsid w:val="00B0275B"/>
    <w:rsid w:val="00B240A2"/>
    <w:rsid w:val="00B272A4"/>
    <w:rsid w:val="00B42C5A"/>
    <w:rsid w:val="00B51B49"/>
    <w:rsid w:val="00B552F0"/>
    <w:rsid w:val="00B635BB"/>
    <w:rsid w:val="00B74063"/>
    <w:rsid w:val="00BB0B3C"/>
    <w:rsid w:val="00BE1749"/>
    <w:rsid w:val="00C01722"/>
    <w:rsid w:val="00C0534C"/>
    <w:rsid w:val="00C1503B"/>
    <w:rsid w:val="00C20356"/>
    <w:rsid w:val="00C257C6"/>
    <w:rsid w:val="00C32665"/>
    <w:rsid w:val="00C44DFC"/>
    <w:rsid w:val="00C53039"/>
    <w:rsid w:val="00C55FF8"/>
    <w:rsid w:val="00C57970"/>
    <w:rsid w:val="00C73ADE"/>
    <w:rsid w:val="00C75EAA"/>
    <w:rsid w:val="00C820B6"/>
    <w:rsid w:val="00C843BC"/>
    <w:rsid w:val="00CB39F1"/>
    <w:rsid w:val="00CB5904"/>
    <w:rsid w:val="00CC7207"/>
    <w:rsid w:val="00CD164C"/>
    <w:rsid w:val="00CD72C8"/>
    <w:rsid w:val="00CE1A19"/>
    <w:rsid w:val="00CE2CC4"/>
    <w:rsid w:val="00CF5837"/>
    <w:rsid w:val="00CF7CE1"/>
    <w:rsid w:val="00D26ED4"/>
    <w:rsid w:val="00D355DD"/>
    <w:rsid w:val="00D45130"/>
    <w:rsid w:val="00D62384"/>
    <w:rsid w:val="00D751DA"/>
    <w:rsid w:val="00D87781"/>
    <w:rsid w:val="00DD3ED9"/>
    <w:rsid w:val="00DD6041"/>
    <w:rsid w:val="00DE359E"/>
    <w:rsid w:val="00DF639F"/>
    <w:rsid w:val="00E05A72"/>
    <w:rsid w:val="00E14A76"/>
    <w:rsid w:val="00E30997"/>
    <w:rsid w:val="00E31DE2"/>
    <w:rsid w:val="00E32327"/>
    <w:rsid w:val="00E4298F"/>
    <w:rsid w:val="00E53BB5"/>
    <w:rsid w:val="00E67C35"/>
    <w:rsid w:val="00E720A6"/>
    <w:rsid w:val="00E872E7"/>
    <w:rsid w:val="00EE0600"/>
    <w:rsid w:val="00EF6A6C"/>
    <w:rsid w:val="00F22718"/>
    <w:rsid w:val="00F25AED"/>
    <w:rsid w:val="00F3258A"/>
    <w:rsid w:val="00F356EB"/>
    <w:rsid w:val="00F37536"/>
    <w:rsid w:val="00F44EAC"/>
    <w:rsid w:val="00F476D9"/>
    <w:rsid w:val="00F61182"/>
    <w:rsid w:val="00F86264"/>
    <w:rsid w:val="00F95726"/>
    <w:rsid w:val="00F95AF7"/>
    <w:rsid w:val="00FB1DA7"/>
    <w:rsid w:val="00FB5165"/>
    <w:rsid w:val="00FE2312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4F"/>
    <w:pPr>
      <w:widowControl w:val="0"/>
      <w:jc w:val="both"/>
    </w:pPr>
  </w:style>
  <w:style w:type="paragraph" w:styleId="1">
    <w:name w:val="heading 1"/>
    <w:basedOn w:val="a"/>
    <w:next w:val="a"/>
    <w:link w:val="1Char1"/>
    <w:qFormat/>
    <w:rsid w:val="00B42C5A"/>
    <w:pPr>
      <w:keepNext/>
      <w:jc w:val="center"/>
      <w:outlineLvl w:val="0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0155"/>
    <w:rPr>
      <w:color w:val="0000FF" w:themeColor="hyperlink"/>
      <w:u w:val="single"/>
    </w:rPr>
  </w:style>
  <w:style w:type="paragraph" w:styleId="a4">
    <w:name w:val="header"/>
    <w:basedOn w:val="a"/>
    <w:link w:val="Char"/>
    <w:unhideWhenUsed/>
    <w:rsid w:val="00855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51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5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513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42C5A"/>
    <w:pPr>
      <w:ind w:leftChars="2500" w:left="100"/>
    </w:pPr>
  </w:style>
  <w:style w:type="character" w:customStyle="1" w:styleId="Char1">
    <w:name w:val="日期 Char"/>
    <w:basedOn w:val="a0"/>
    <w:link w:val="a6"/>
    <w:rsid w:val="00B42C5A"/>
  </w:style>
  <w:style w:type="character" w:customStyle="1" w:styleId="1Char">
    <w:name w:val="标题 1 Char"/>
    <w:basedOn w:val="a0"/>
    <w:uiPriority w:val="9"/>
    <w:rsid w:val="00B42C5A"/>
    <w:rPr>
      <w:b/>
      <w:bCs/>
      <w:kern w:val="44"/>
      <w:sz w:val="44"/>
      <w:szCs w:val="44"/>
    </w:rPr>
  </w:style>
  <w:style w:type="character" w:customStyle="1" w:styleId="Char10">
    <w:name w:val="批注主题 Char1"/>
    <w:link w:val="a7"/>
    <w:uiPriority w:val="99"/>
    <w:rsid w:val="00B42C5A"/>
    <w:rPr>
      <w:b/>
      <w:bCs/>
      <w:szCs w:val="24"/>
    </w:rPr>
  </w:style>
  <w:style w:type="character" w:styleId="a8">
    <w:name w:val="annotation reference"/>
    <w:uiPriority w:val="99"/>
    <w:unhideWhenUsed/>
    <w:rsid w:val="00B42C5A"/>
    <w:rPr>
      <w:sz w:val="21"/>
      <w:szCs w:val="21"/>
    </w:rPr>
  </w:style>
  <w:style w:type="character" w:customStyle="1" w:styleId="a9">
    <w:name w:val="页眉 字符"/>
    <w:rsid w:val="00B42C5A"/>
    <w:rPr>
      <w:sz w:val="18"/>
      <w:szCs w:val="18"/>
    </w:rPr>
  </w:style>
  <w:style w:type="character" w:customStyle="1" w:styleId="aa">
    <w:name w:val="页脚 字符"/>
    <w:uiPriority w:val="99"/>
    <w:rsid w:val="00B42C5A"/>
    <w:rPr>
      <w:sz w:val="18"/>
      <w:szCs w:val="18"/>
    </w:rPr>
  </w:style>
  <w:style w:type="character" w:customStyle="1" w:styleId="1Char1">
    <w:name w:val="标题 1 Char1"/>
    <w:link w:val="1"/>
    <w:rsid w:val="00B42C5A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Char11">
    <w:name w:val="批注框文本 Char1"/>
    <w:link w:val="ab"/>
    <w:uiPriority w:val="99"/>
    <w:rsid w:val="00B42C5A"/>
    <w:rPr>
      <w:sz w:val="18"/>
      <w:szCs w:val="18"/>
    </w:rPr>
  </w:style>
  <w:style w:type="character" w:customStyle="1" w:styleId="ac">
    <w:name w:val="批注文字 字符"/>
    <w:uiPriority w:val="99"/>
    <w:semiHidden/>
    <w:rsid w:val="00B42C5A"/>
    <w:rPr>
      <w:kern w:val="2"/>
      <w:sz w:val="21"/>
      <w:szCs w:val="24"/>
    </w:rPr>
  </w:style>
  <w:style w:type="character" w:customStyle="1" w:styleId="font11">
    <w:name w:val="font11"/>
    <w:rsid w:val="00B42C5A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styleId="ad">
    <w:name w:val="page number"/>
    <w:basedOn w:val="a0"/>
    <w:rsid w:val="00B42C5A"/>
  </w:style>
  <w:style w:type="paragraph" w:styleId="ae">
    <w:name w:val="annotation text"/>
    <w:basedOn w:val="a"/>
    <w:link w:val="Char2"/>
    <w:uiPriority w:val="99"/>
    <w:unhideWhenUsed/>
    <w:rsid w:val="00B42C5A"/>
    <w:pPr>
      <w:jc w:val="left"/>
    </w:pPr>
  </w:style>
  <w:style w:type="character" w:customStyle="1" w:styleId="Char2">
    <w:name w:val="批注文字 Char"/>
    <w:basedOn w:val="a0"/>
    <w:link w:val="ae"/>
    <w:uiPriority w:val="99"/>
    <w:semiHidden/>
    <w:rsid w:val="00B42C5A"/>
  </w:style>
  <w:style w:type="paragraph" w:styleId="a7">
    <w:name w:val="annotation subject"/>
    <w:basedOn w:val="ae"/>
    <w:next w:val="ae"/>
    <w:link w:val="Char10"/>
    <w:uiPriority w:val="99"/>
    <w:unhideWhenUsed/>
    <w:rsid w:val="00B42C5A"/>
    <w:rPr>
      <w:b/>
      <w:bCs/>
      <w:szCs w:val="24"/>
    </w:rPr>
  </w:style>
  <w:style w:type="character" w:customStyle="1" w:styleId="Char3">
    <w:name w:val="批注主题 Char"/>
    <w:basedOn w:val="Char2"/>
    <w:uiPriority w:val="99"/>
    <w:semiHidden/>
    <w:rsid w:val="00B42C5A"/>
    <w:rPr>
      <w:b/>
      <w:bCs/>
    </w:rPr>
  </w:style>
  <w:style w:type="paragraph" w:styleId="af">
    <w:name w:val="Normal (Web)"/>
    <w:basedOn w:val="a"/>
    <w:uiPriority w:val="99"/>
    <w:unhideWhenUsed/>
    <w:rsid w:val="00B42C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11"/>
    <w:uiPriority w:val="99"/>
    <w:unhideWhenUsed/>
    <w:rsid w:val="00B42C5A"/>
    <w:rPr>
      <w:sz w:val="18"/>
      <w:szCs w:val="18"/>
    </w:rPr>
  </w:style>
  <w:style w:type="character" w:customStyle="1" w:styleId="Char4">
    <w:name w:val="批注框文本 Char"/>
    <w:basedOn w:val="a0"/>
    <w:uiPriority w:val="99"/>
    <w:semiHidden/>
    <w:rsid w:val="00B42C5A"/>
    <w:rPr>
      <w:sz w:val="18"/>
      <w:szCs w:val="18"/>
    </w:rPr>
  </w:style>
  <w:style w:type="paragraph" w:customStyle="1" w:styleId="10">
    <w:name w:val="日期1"/>
    <w:basedOn w:val="a"/>
    <w:next w:val="a"/>
    <w:rsid w:val="00B42C5A"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"/>
    <w:link w:val="Char5"/>
    <w:qFormat/>
    <w:rsid w:val="00B42C5A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4"/>
    </w:rPr>
  </w:style>
  <w:style w:type="character" w:customStyle="1" w:styleId="Char5">
    <w:name w:val="纯文本 Char"/>
    <w:basedOn w:val="a0"/>
    <w:link w:val="af0"/>
    <w:rsid w:val="00B42C5A"/>
    <w:rPr>
      <w:rFonts w:ascii="仿宋_GB2312" w:eastAsia="宋体" w:hAnsi="Times New Roman" w:cs="Times New Roman"/>
      <w:sz w:val="24"/>
      <w:szCs w:val="24"/>
    </w:rPr>
  </w:style>
  <w:style w:type="paragraph" w:customStyle="1" w:styleId="Char6">
    <w:name w:val="Char"/>
    <w:basedOn w:val="a"/>
    <w:rsid w:val="00B42C5A"/>
    <w:pPr>
      <w:tabs>
        <w:tab w:val="left" w:pos="425"/>
      </w:tabs>
      <w:ind w:left="425" w:hanging="425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rsid w:val="00B42C5A"/>
    <w:pPr>
      <w:ind w:firstLineChars="200" w:firstLine="420"/>
    </w:pPr>
    <w:rPr>
      <w:rFonts w:ascii="Calibri" w:eastAsia="宋体" w:hAnsi="Calibri" w:cs="Times New Roman"/>
    </w:rPr>
  </w:style>
  <w:style w:type="table" w:styleId="af1">
    <w:name w:val="Table Grid"/>
    <w:basedOn w:val="a1"/>
    <w:uiPriority w:val="59"/>
    <w:qFormat/>
    <w:rsid w:val="00B42C5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24599"/>
    <w:pPr>
      <w:ind w:firstLineChars="200" w:firstLine="420"/>
    </w:pPr>
  </w:style>
  <w:style w:type="paragraph" w:customStyle="1" w:styleId="olistparagraph">
    <w:name w:val="olistparagraph"/>
    <w:basedOn w:val="a"/>
    <w:rsid w:val="00A67E3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onormal">
    <w:name w:val="onormal"/>
    <w:basedOn w:val="a"/>
    <w:rsid w:val="00A67E3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12">
    <w:name w:val="纯文本 Char1"/>
    <w:locked/>
    <w:rsid w:val="003B1236"/>
    <w:rPr>
      <w:rFonts w:ascii="仿宋_GB2312" w:eastAsia="仿宋_GB2312" w:hAnsi="Calibri" w:hint="eastAsia"/>
      <w:kern w:val="2"/>
      <w:sz w:val="24"/>
      <w:szCs w:val="24"/>
    </w:rPr>
  </w:style>
  <w:style w:type="paragraph" w:customStyle="1" w:styleId="sonormal">
    <w:name w:val="sonormal"/>
    <w:basedOn w:val="a"/>
    <w:rsid w:val="001E5C71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2">
    <w:name w:val="Body Text Indent 2"/>
    <w:basedOn w:val="a"/>
    <w:link w:val="2Char"/>
    <w:qFormat/>
    <w:rsid w:val="008D580B"/>
    <w:pPr>
      <w:spacing w:after="120" w:line="480" w:lineRule="auto"/>
      <w:ind w:left="420"/>
    </w:pPr>
    <w:rPr>
      <w:rFonts w:ascii="Calibri" w:eastAsia="宋体" w:hAnsi="Calibri" w:cs="Times New Roman"/>
      <w:sz w:val="28"/>
      <w:szCs w:val="24"/>
    </w:rPr>
  </w:style>
  <w:style w:type="character" w:customStyle="1" w:styleId="2Char">
    <w:name w:val="正文文本缩进 2 Char"/>
    <w:basedOn w:val="a0"/>
    <w:link w:val="2"/>
    <w:qFormat/>
    <w:rsid w:val="008D580B"/>
    <w:rPr>
      <w:rFonts w:ascii="Calibri" w:eastAsia="宋体" w:hAnsi="Calibri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442</Words>
  <Characters>2520</Characters>
  <Application>Microsoft Office Word</Application>
  <DocSecurity>0</DocSecurity>
  <Lines>21</Lines>
  <Paragraphs>5</Paragraphs>
  <ScaleCrop>false</ScaleCrop>
  <Company>hps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宋莎莎</dc:creator>
  <cp:lastModifiedBy>kjxxb</cp:lastModifiedBy>
  <cp:revision>15</cp:revision>
  <cp:lastPrinted>2023-02-16T02:21:00Z</cp:lastPrinted>
  <dcterms:created xsi:type="dcterms:W3CDTF">2024-05-21T03:49:00Z</dcterms:created>
  <dcterms:modified xsi:type="dcterms:W3CDTF">2025-04-21T09:08:00Z</dcterms:modified>
</cp:coreProperties>
</file>