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D9C74F">
      <w:pPr>
        <w:pStyle w:val="2"/>
        <w:rPr>
          <w:rFonts w:hint="eastAsia" w:ascii="宋体" w:hAnsi="宋体" w:eastAsia="宋体" w:cs="宋体"/>
          <w:b/>
          <w:bCs/>
          <w:sz w:val="36"/>
          <w:szCs w:val="36"/>
        </w:rPr>
      </w:pPr>
      <w:r>
        <w:rPr>
          <w:rFonts w:hint="eastAsia" w:ascii="Times New Roman" w:eastAsia="宋体"/>
          <w:b/>
          <w:bCs/>
          <w:sz w:val="36"/>
          <w:szCs w:val="36"/>
        </w:rPr>
        <w:t>2026年度自然资源科学技术奖</w:t>
      </w:r>
      <w:r>
        <w:rPr>
          <w:rFonts w:hint="eastAsia" w:ascii="宋体" w:hAnsi="宋体" w:eastAsia="宋体" w:cs="宋体"/>
          <w:b/>
          <w:bCs/>
          <w:sz w:val="36"/>
          <w:szCs w:val="36"/>
        </w:rPr>
        <w:t>公示表</w:t>
      </w:r>
    </w:p>
    <w:p w14:paraId="1BC017F0"/>
    <w:tbl>
      <w:tblPr>
        <w:tblStyle w:val="11"/>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5"/>
        <w:gridCol w:w="7849"/>
      </w:tblGrid>
      <w:tr w14:paraId="66B68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615" w:type="dxa"/>
            <w:vAlign w:val="center"/>
          </w:tcPr>
          <w:p w14:paraId="33631DF1">
            <w:pPr>
              <w:adjustRightInd w:val="0"/>
              <w:snapToGrid w:val="0"/>
              <w:jc w:val="center"/>
              <w:rPr>
                <w:rFonts w:hint="eastAsia" w:ascii="仿宋" w:hAnsi="仿宋" w:eastAsia="仿宋"/>
                <w:b/>
                <w:bCs/>
              </w:rPr>
            </w:pPr>
            <w:r>
              <w:rPr>
                <w:rFonts w:hint="eastAsia" w:ascii="仿宋" w:hAnsi="仿宋" w:eastAsia="仿宋"/>
                <w:b/>
                <w:bCs/>
              </w:rPr>
              <w:t>项目名称</w:t>
            </w:r>
          </w:p>
        </w:tc>
        <w:tc>
          <w:tcPr>
            <w:tcW w:w="7849" w:type="dxa"/>
            <w:vAlign w:val="center"/>
          </w:tcPr>
          <w:p w14:paraId="7C807286">
            <w:pPr>
              <w:rPr>
                <w:rFonts w:hint="eastAsia" w:ascii="宋体" w:hAnsi="宋体"/>
                <w:szCs w:val="21"/>
              </w:rPr>
            </w:pPr>
            <w:r>
              <w:rPr>
                <w:rFonts w:ascii="宋体" w:hAnsi="宋体" w:eastAsia="宋体" w:cs="宋体"/>
                <w:sz w:val="24"/>
                <w:szCs w:val="24"/>
              </w:rPr>
              <w:t>多源数据融合</w:t>
            </w:r>
            <w:r>
              <w:rPr>
                <w:rFonts w:hint="eastAsia" w:ascii="宋体" w:hAnsi="宋体" w:cs="宋体"/>
                <w:sz w:val="24"/>
                <w:szCs w:val="24"/>
                <w:lang w:val="en-US" w:eastAsia="zh-CN"/>
              </w:rPr>
              <w:t>海洋</w:t>
            </w:r>
            <w:r>
              <w:rPr>
                <w:rFonts w:ascii="宋体" w:hAnsi="宋体" w:eastAsia="宋体" w:cs="宋体"/>
                <w:sz w:val="24"/>
                <w:szCs w:val="24"/>
              </w:rPr>
              <w:t>渔业智能监测关键技术及应用</w:t>
            </w:r>
          </w:p>
        </w:tc>
      </w:tr>
      <w:tr w14:paraId="3B702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615" w:type="dxa"/>
            <w:vAlign w:val="center"/>
          </w:tcPr>
          <w:p w14:paraId="033CA9B2">
            <w:pPr>
              <w:adjustRightInd w:val="0"/>
              <w:snapToGrid w:val="0"/>
              <w:jc w:val="center"/>
              <w:rPr>
                <w:rFonts w:hint="eastAsia" w:ascii="仿宋" w:hAnsi="仿宋" w:eastAsia="仿宋"/>
                <w:b/>
                <w:bCs/>
              </w:rPr>
            </w:pPr>
            <w:r>
              <w:rPr>
                <w:rFonts w:hint="eastAsia" w:ascii="仿宋" w:hAnsi="仿宋" w:eastAsia="仿宋"/>
                <w:b/>
                <w:bCs/>
              </w:rPr>
              <w:t>申报奖项</w:t>
            </w:r>
          </w:p>
        </w:tc>
        <w:tc>
          <w:tcPr>
            <w:tcW w:w="7849" w:type="dxa"/>
            <w:vAlign w:val="center"/>
          </w:tcPr>
          <w:p w14:paraId="4946C7E9">
            <w:pPr>
              <w:rPr>
                <w:rFonts w:hint="eastAsia" w:ascii="宋体" w:hAnsi="宋体" w:eastAsiaTheme="minorEastAsia"/>
                <w:szCs w:val="21"/>
                <w:lang w:val="en-US" w:eastAsia="zh-CN"/>
              </w:rPr>
            </w:pPr>
            <w:r>
              <w:rPr>
                <w:rFonts w:ascii="宋体" w:hAnsi="宋体" w:eastAsia="宋体" w:cs="宋体"/>
                <w:sz w:val="24"/>
                <w:szCs w:val="24"/>
              </w:rPr>
              <w:t>自然资源科学技术</w:t>
            </w:r>
            <w:r>
              <w:rPr>
                <w:rFonts w:hint="eastAsia" w:ascii="宋体" w:hAnsi="宋体" w:eastAsia="宋体" w:cs="宋体"/>
                <w:sz w:val="24"/>
                <w:szCs w:val="24"/>
                <w:lang w:val="en-US" w:eastAsia="zh-CN"/>
              </w:rPr>
              <w:t>科技进步</w:t>
            </w:r>
            <w:r>
              <w:rPr>
                <w:rFonts w:ascii="宋体" w:hAnsi="宋体" w:eastAsia="宋体" w:cs="宋体"/>
                <w:sz w:val="24"/>
                <w:szCs w:val="24"/>
              </w:rPr>
              <w:t>奖</w:t>
            </w:r>
            <w:r>
              <w:rPr>
                <w:rFonts w:hint="eastAsia" w:ascii="宋体" w:hAnsi="宋体" w:eastAsia="宋体" w:cs="宋体"/>
                <w:sz w:val="24"/>
                <w:szCs w:val="24"/>
                <w:lang w:val="en-US" w:eastAsia="zh-CN"/>
              </w:rPr>
              <w:t>二等奖</w:t>
            </w:r>
          </w:p>
        </w:tc>
      </w:tr>
      <w:tr w14:paraId="369CD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5" w:type="dxa"/>
            <w:vAlign w:val="center"/>
          </w:tcPr>
          <w:p w14:paraId="57FA4F19">
            <w:pPr>
              <w:snapToGrid w:val="0"/>
              <w:jc w:val="center"/>
              <w:rPr>
                <w:rFonts w:hint="eastAsia" w:ascii="仿宋" w:hAnsi="仿宋" w:eastAsia="仿宋"/>
              </w:rPr>
            </w:pPr>
            <w:r>
              <w:rPr>
                <w:rFonts w:hint="eastAsia" w:ascii="仿宋" w:hAnsi="仿宋" w:eastAsia="仿宋"/>
                <w:b/>
                <w:bCs/>
              </w:rPr>
              <w:t>主要完成单位</w:t>
            </w:r>
          </w:p>
        </w:tc>
        <w:tc>
          <w:tcPr>
            <w:tcW w:w="7849" w:type="dxa"/>
            <w:vAlign w:val="center"/>
          </w:tcPr>
          <w:p w14:paraId="40F3A2DC">
            <w:pPr>
              <w:pStyle w:val="4"/>
              <w:adjustRightInd w:val="0"/>
              <w:snapToGrid w:val="0"/>
              <w:spacing w:line="400" w:lineRule="exact"/>
              <w:ind w:firstLine="1200" w:firstLineChars="500"/>
              <w:jc w:val="left"/>
              <w:rPr>
                <w:rFonts w:hint="eastAsia" w:ascii="Times New Roman" w:hAnsi="Times New Roman" w:eastAsia="宋体" w:cs="Times New Roman"/>
              </w:rPr>
            </w:pPr>
            <w:r>
              <w:rPr>
                <w:rFonts w:hint="eastAsia" w:ascii="Times New Roman" w:hAnsi="Times New Roman" w:eastAsia="宋体" w:cs="Times New Roman"/>
              </w:rPr>
              <w:t>中国水产科学研究院东海水产研究所</w:t>
            </w:r>
          </w:p>
          <w:p w14:paraId="2F34B43D">
            <w:pPr>
              <w:pStyle w:val="4"/>
              <w:adjustRightInd w:val="0"/>
              <w:snapToGrid w:val="0"/>
              <w:spacing w:line="400" w:lineRule="exact"/>
              <w:ind w:firstLine="1200" w:firstLineChars="500"/>
              <w:jc w:val="left"/>
              <w:rPr>
                <w:rFonts w:hint="eastAsia" w:ascii="Times New Roman" w:cs="Times New Roman"/>
                <w:lang w:val="en-US" w:eastAsia="zh-CN"/>
              </w:rPr>
            </w:pPr>
            <w:r>
              <w:rPr>
                <w:rFonts w:hint="eastAsia" w:ascii="Times New Roman" w:cs="Times New Roman"/>
                <w:lang w:val="en-US" w:eastAsia="zh-CN"/>
              </w:rPr>
              <w:t>浙江水产研究所</w:t>
            </w:r>
          </w:p>
          <w:p w14:paraId="2359D90D">
            <w:pPr>
              <w:pStyle w:val="4"/>
              <w:adjustRightInd w:val="0"/>
              <w:snapToGrid w:val="0"/>
              <w:spacing w:line="400" w:lineRule="exact"/>
              <w:ind w:firstLine="1200" w:firstLineChars="500"/>
              <w:jc w:val="left"/>
              <w:rPr>
                <w:rFonts w:hint="default" w:ascii="Times New Roman" w:cs="Times New Roman"/>
                <w:lang w:val="en-US" w:eastAsia="zh-CN"/>
              </w:rPr>
            </w:pPr>
            <w:r>
              <w:rPr>
                <w:rFonts w:hint="eastAsia" w:ascii="Times New Roman" w:cs="Times New Roman"/>
                <w:lang w:val="en-US" w:eastAsia="zh-CN"/>
              </w:rPr>
              <w:t>江苏水产研究所</w:t>
            </w:r>
          </w:p>
          <w:p w14:paraId="54C4EBF3">
            <w:pPr>
              <w:pStyle w:val="4"/>
              <w:adjustRightInd w:val="0"/>
              <w:snapToGrid w:val="0"/>
              <w:spacing w:line="400" w:lineRule="exact"/>
              <w:ind w:firstLine="1200" w:firstLineChars="500"/>
              <w:jc w:val="left"/>
              <w:rPr>
                <w:rFonts w:hint="eastAsia" w:ascii="宋体" w:hAnsi="宋体"/>
                <w:szCs w:val="21"/>
              </w:rPr>
            </w:pPr>
            <w:r>
              <w:rPr>
                <w:rFonts w:hint="eastAsia" w:ascii="Times New Roman" w:hAnsi="Times New Roman" w:eastAsia="宋体" w:cs="Times New Roman"/>
              </w:rPr>
              <w:t>中国水产科学研究院</w:t>
            </w:r>
            <w:r>
              <w:rPr>
                <w:rFonts w:hint="eastAsia" w:ascii="Times New Roman" w:cs="Times New Roman"/>
                <w:lang w:val="en-US" w:eastAsia="zh-CN"/>
              </w:rPr>
              <w:t>南</w:t>
            </w:r>
            <w:r>
              <w:rPr>
                <w:rFonts w:hint="eastAsia" w:ascii="Times New Roman" w:hAnsi="Times New Roman" w:eastAsia="宋体" w:cs="Times New Roman"/>
              </w:rPr>
              <w:t>海水产研究所</w:t>
            </w:r>
          </w:p>
        </w:tc>
      </w:tr>
      <w:tr w14:paraId="357AA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5" w:type="dxa"/>
            <w:vAlign w:val="center"/>
          </w:tcPr>
          <w:p w14:paraId="3A6AC11F">
            <w:pPr>
              <w:snapToGrid w:val="0"/>
              <w:jc w:val="center"/>
              <w:rPr>
                <w:rFonts w:hint="eastAsia" w:ascii="仿宋" w:hAnsi="仿宋" w:eastAsia="仿宋"/>
                <w:b/>
                <w:bCs/>
              </w:rPr>
            </w:pPr>
            <w:r>
              <w:rPr>
                <w:rFonts w:hint="eastAsia" w:ascii="仿宋" w:hAnsi="仿宋" w:eastAsia="仿宋"/>
                <w:b/>
                <w:bCs/>
              </w:rPr>
              <w:t>主要完成人</w:t>
            </w:r>
          </w:p>
        </w:tc>
        <w:tc>
          <w:tcPr>
            <w:tcW w:w="7849" w:type="dxa"/>
            <w:vAlign w:val="center"/>
          </w:tcPr>
          <w:p w14:paraId="2C7F94C2">
            <w:pPr>
              <w:rPr>
                <w:rFonts w:hint="eastAsia" w:ascii="宋体" w:hAnsi="宋体"/>
                <w:szCs w:val="21"/>
              </w:rPr>
            </w:pPr>
            <w:r>
              <w:rPr>
                <w:rFonts w:hint="eastAsia" w:ascii="Times New Roman" w:hAnsi="Times New Roman" w:eastAsia="宋体" w:cs="Times New Roman"/>
              </w:rPr>
              <w:t>杨胜龙、张胜茂、张衡、戴阳、熊瑛、戴乾、于杰、范秀梅、王斐、程田飞</w:t>
            </w:r>
          </w:p>
        </w:tc>
      </w:tr>
      <w:tr w14:paraId="42FEC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5" w:hRule="atLeast"/>
          <w:jc w:val="center"/>
        </w:trPr>
        <w:tc>
          <w:tcPr>
            <w:tcW w:w="1615" w:type="dxa"/>
            <w:vAlign w:val="center"/>
          </w:tcPr>
          <w:p w14:paraId="3EB6C601">
            <w:pPr>
              <w:snapToGrid w:val="0"/>
              <w:jc w:val="center"/>
              <w:rPr>
                <w:rFonts w:hint="eastAsia" w:ascii="仿宋" w:hAnsi="仿宋" w:eastAsia="仿宋"/>
                <w:b/>
                <w:bCs/>
              </w:rPr>
            </w:pPr>
            <w:r>
              <w:rPr>
                <w:rFonts w:ascii="仿宋" w:hAnsi="仿宋" w:eastAsia="仿宋"/>
                <w:b/>
                <w:bCs/>
              </w:rPr>
              <w:t>推荐意见</w:t>
            </w:r>
          </w:p>
        </w:tc>
        <w:tc>
          <w:tcPr>
            <w:tcW w:w="7849" w:type="dxa"/>
            <w:vAlign w:val="center"/>
          </w:tcPr>
          <w:p w14:paraId="6C8E206F">
            <w:pPr>
              <w:keepNext w:val="0"/>
              <w:keepLines w:val="0"/>
              <w:pageBreakBefore w:val="0"/>
              <w:widowControl w:val="0"/>
              <w:kinsoku/>
              <w:wordWrap/>
              <w:overflowPunct/>
              <w:topLinePunct w:val="0"/>
              <w:bidi w:val="0"/>
              <w:adjustRightInd w:val="0"/>
              <w:snapToGrid w:val="0"/>
              <w:spacing w:line="360" w:lineRule="exact"/>
              <w:ind w:firstLine="480" w:firstLineChars="200"/>
              <w:textAlignment w:val="auto"/>
              <w:rPr>
                <w:rFonts w:ascii="宋体" w:hAnsi="宋体" w:eastAsia="宋体" w:cs="宋体"/>
                <w:sz w:val="24"/>
                <w:szCs w:val="24"/>
              </w:rPr>
            </w:pPr>
            <w:r>
              <w:rPr>
                <w:rFonts w:ascii="宋体" w:hAnsi="宋体" w:eastAsia="宋体" w:cs="宋体"/>
                <w:sz w:val="24"/>
                <w:szCs w:val="24"/>
              </w:rPr>
              <w:t>本项目围绕海洋渔业数字化</w:t>
            </w:r>
            <w:r>
              <w:rPr>
                <w:rFonts w:hint="eastAsia" w:ascii="宋体" w:hAnsi="宋体" w:eastAsia="宋体" w:cs="宋体"/>
                <w:sz w:val="24"/>
                <w:szCs w:val="24"/>
                <w:lang w:val="en-US" w:eastAsia="zh-CN"/>
              </w:rPr>
              <w:t>和</w:t>
            </w:r>
            <w:r>
              <w:rPr>
                <w:rFonts w:ascii="宋体" w:hAnsi="宋体" w:eastAsia="宋体" w:cs="宋体"/>
                <w:sz w:val="24"/>
                <w:szCs w:val="24"/>
              </w:rPr>
              <w:t>智能化发展需求，针对传统渔业生产监测手段不足、捕捞活动精准量化困难</w:t>
            </w:r>
            <w:r>
              <w:rPr>
                <w:rFonts w:hint="eastAsia" w:ascii="宋体" w:hAnsi="宋体" w:eastAsia="宋体" w:cs="宋体"/>
                <w:sz w:val="24"/>
                <w:szCs w:val="24"/>
                <w:lang w:val="en-US" w:eastAsia="zh-CN"/>
              </w:rPr>
              <w:t>和</w:t>
            </w:r>
            <w:r>
              <w:rPr>
                <w:rFonts w:ascii="宋体" w:hAnsi="宋体" w:eastAsia="宋体" w:cs="宋体"/>
                <w:sz w:val="24"/>
                <w:szCs w:val="24"/>
              </w:rPr>
              <w:t>复杂海洋环境下智能感知能力</w:t>
            </w:r>
            <w:r>
              <w:rPr>
                <w:rFonts w:hint="eastAsia" w:ascii="宋体" w:hAnsi="宋体" w:eastAsia="宋体" w:cs="宋体"/>
                <w:sz w:val="24"/>
                <w:szCs w:val="24"/>
                <w:lang w:val="en-US" w:eastAsia="zh-CN"/>
              </w:rPr>
              <w:t>弱</w:t>
            </w:r>
            <w:r>
              <w:rPr>
                <w:rFonts w:ascii="宋体" w:hAnsi="宋体" w:eastAsia="宋体" w:cs="宋体"/>
                <w:sz w:val="24"/>
                <w:szCs w:val="24"/>
              </w:rPr>
              <w:t>等关键问题，</w:t>
            </w:r>
            <w:r>
              <w:rPr>
                <w:rFonts w:hint="eastAsia" w:ascii="宋体" w:hAnsi="宋体" w:eastAsia="宋体" w:cs="宋体"/>
                <w:sz w:val="24"/>
                <w:szCs w:val="24"/>
                <w:lang w:val="en-US" w:eastAsia="zh-CN"/>
              </w:rPr>
              <w:t>围绕国家行政监管和行业生产需求，</w:t>
            </w:r>
            <w:r>
              <w:rPr>
                <w:rFonts w:ascii="宋体" w:hAnsi="宋体" w:eastAsia="宋体" w:cs="宋体"/>
                <w:sz w:val="24"/>
                <w:szCs w:val="24"/>
              </w:rPr>
              <w:t>开展了多源船舶时空数据融合、渔船行为智能解析、捕捞强度精准量化、渔场智能预测</w:t>
            </w:r>
            <w:r>
              <w:rPr>
                <w:rFonts w:hint="eastAsia" w:ascii="宋体" w:hAnsi="宋体" w:eastAsia="宋体" w:cs="宋体"/>
                <w:sz w:val="24"/>
                <w:szCs w:val="24"/>
                <w:lang w:eastAsia="zh-CN"/>
              </w:rPr>
              <w:t>，</w:t>
            </w:r>
            <w:r>
              <w:rPr>
                <w:rFonts w:ascii="宋体" w:hAnsi="宋体" w:eastAsia="宋体" w:cs="宋体"/>
                <w:sz w:val="24"/>
                <w:szCs w:val="24"/>
              </w:rPr>
              <w:t>以及渔船多源感知和AI一体化智能终端装备研发，形成了较完整的海洋渔业智能监测技术体系。</w:t>
            </w:r>
          </w:p>
          <w:p w14:paraId="440C1285">
            <w:pPr>
              <w:keepNext w:val="0"/>
              <w:keepLines w:val="0"/>
              <w:pageBreakBefore w:val="0"/>
              <w:widowControl w:val="0"/>
              <w:kinsoku/>
              <w:wordWrap/>
              <w:overflowPunct/>
              <w:topLinePunct w:val="0"/>
              <w:bidi w:val="0"/>
              <w:adjustRightInd w:val="0"/>
              <w:snapToGrid w:val="0"/>
              <w:spacing w:line="360" w:lineRule="exact"/>
              <w:ind w:firstLine="480" w:firstLineChars="200"/>
              <w:textAlignment w:val="auto"/>
              <w:rPr>
                <w:rFonts w:ascii="宋体" w:hAnsi="宋体" w:eastAsia="宋体" w:cs="宋体"/>
                <w:sz w:val="24"/>
                <w:szCs w:val="24"/>
              </w:rPr>
            </w:pPr>
            <w:r>
              <w:rPr>
                <w:rFonts w:ascii="宋体" w:hAnsi="宋体" w:eastAsia="宋体" w:cs="宋体"/>
                <w:sz w:val="24"/>
                <w:szCs w:val="24"/>
              </w:rPr>
              <w:t>项目成果具有较强的创新性和应用价值，突破了传统依赖人工调查和经验判断的渔业生产监管模式，实现了从渔船轨迹数据获取、生产行为智能解析、捕捞活动空间量化</w:t>
            </w:r>
            <w:r>
              <w:rPr>
                <w:rFonts w:hint="eastAsia" w:ascii="宋体" w:hAnsi="宋体" w:eastAsia="宋体" w:cs="宋体"/>
                <w:sz w:val="24"/>
                <w:szCs w:val="24"/>
                <w:lang w:eastAsia="zh-CN"/>
              </w:rPr>
              <w:t>，</w:t>
            </w:r>
            <w:r>
              <w:rPr>
                <w:rFonts w:ascii="宋体" w:hAnsi="宋体" w:eastAsia="宋体" w:cs="宋体"/>
                <w:sz w:val="24"/>
                <w:szCs w:val="24"/>
              </w:rPr>
              <w:t>到船载智能感知装备应用的技术贯通。相关成果已在远洋渔业生产、渔船动态监管、渔场智能服务和智慧渔业装备应用等领域推广，取得了良好的经济、社会和生态环境效益。</w:t>
            </w:r>
          </w:p>
          <w:p w14:paraId="74025824">
            <w:pPr>
              <w:keepNext w:val="0"/>
              <w:keepLines w:val="0"/>
              <w:pageBreakBefore w:val="0"/>
              <w:widowControl w:val="0"/>
              <w:kinsoku/>
              <w:wordWrap/>
              <w:overflowPunct/>
              <w:topLinePunct w:val="0"/>
              <w:bidi w:val="0"/>
              <w:adjustRightInd w:val="0"/>
              <w:snapToGrid w:val="0"/>
              <w:spacing w:line="360" w:lineRule="exact"/>
              <w:ind w:firstLine="480" w:firstLineChars="200"/>
              <w:textAlignment w:val="auto"/>
              <w:rPr>
                <w:rFonts w:hint="eastAsia" w:ascii="宋体" w:hAnsi="宋体"/>
                <w:szCs w:val="21"/>
              </w:rPr>
            </w:pPr>
            <w:r>
              <w:rPr>
                <w:rFonts w:ascii="宋体" w:hAnsi="宋体" w:eastAsia="宋体" w:cs="宋体"/>
                <w:sz w:val="24"/>
                <w:szCs w:val="24"/>
              </w:rPr>
              <w:t>经审核，申报材料真实、完整，项目技术内容和应用情况符合申报要求，知识产权归属清晰，经济效益和社会效益证明材料真实有效。同意推荐该项目申报</w:t>
            </w:r>
            <w:r>
              <w:rPr>
                <w:rFonts w:ascii="宋体" w:hAnsi="宋体" w:eastAsia="宋体" w:cs="宋体"/>
                <w:sz w:val="24"/>
                <w:szCs w:val="24"/>
                <w:lang w:val="en-US" w:eastAsia="zh-CN"/>
              </w:rPr>
              <w:t>2026 年自然资源科学技术</w:t>
            </w:r>
            <w:r>
              <w:rPr>
                <w:rFonts w:hint="eastAsia" w:ascii="宋体" w:hAnsi="宋体" w:eastAsia="宋体" w:cs="宋体"/>
                <w:sz w:val="24"/>
                <w:szCs w:val="24"/>
                <w:lang w:val="en-US" w:eastAsia="zh-CN"/>
              </w:rPr>
              <w:t>科技</w:t>
            </w:r>
            <w:r>
              <w:rPr>
                <w:rFonts w:ascii="宋体" w:hAnsi="宋体" w:eastAsia="宋体" w:cs="宋体"/>
                <w:sz w:val="24"/>
                <w:szCs w:val="24"/>
              </w:rPr>
              <w:t>进步</w:t>
            </w:r>
            <w:r>
              <w:rPr>
                <w:rFonts w:hint="eastAsia" w:ascii="宋体" w:hAnsi="宋体" w:eastAsia="宋体" w:cs="宋体"/>
                <w:sz w:val="24"/>
                <w:szCs w:val="24"/>
                <w:lang w:val="en-US" w:eastAsia="zh-CN"/>
              </w:rPr>
              <w:t>二等</w:t>
            </w:r>
            <w:r>
              <w:rPr>
                <w:rFonts w:ascii="宋体" w:hAnsi="宋体" w:eastAsia="宋体" w:cs="宋体"/>
                <w:sz w:val="24"/>
                <w:szCs w:val="24"/>
              </w:rPr>
              <w:t>奖。</w:t>
            </w:r>
          </w:p>
        </w:tc>
      </w:tr>
      <w:tr w14:paraId="01EEE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7" w:hRule="atLeast"/>
          <w:jc w:val="center"/>
        </w:trPr>
        <w:tc>
          <w:tcPr>
            <w:tcW w:w="1615" w:type="dxa"/>
            <w:vAlign w:val="center"/>
          </w:tcPr>
          <w:p w14:paraId="42A8F43E">
            <w:pPr>
              <w:snapToGrid w:val="0"/>
              <w:jc w:val="center"/>
              <w:rPr>
                <w:rFonts w:hint="eastAsia" w:ascii="仿宋" w:hAnsi="仿宋" w:eastAsia="仿宋"/>
                <w:b/>
                <w:bCs/>
              </w:rPr>
            </w:pPr>
            <w:r>
              <w:rPr>
                <w:rFonts w:ascii="仿宋" w:hAnsi="仿宋" w:eastAsia="仿宋"/>
                <w:b/>
                <w:bCs/>
              </w:rPr>
              <w:t>成果简介</w:t>
            </w:r>
          </w:p>
        </w:tc>
        <w:tc>
          <w:tcPr>
            <w:tcW w:w="7849" w:type="dxa"/>
            <w:vAlign w:val="center"/>
          </w:tcPr>
          <w:p w14:paraId="10F32615">
            <w:pPr>
              <w:keepNext w:val="0"/>
              <w:keepLines w:val="0"/>
              <w:pageBreakBefore w:val="0"/>
              <w:widowControl w:val="0"/>
              <w:kinsoku/>
              <w:wordWrap/>
              <w:overflowPunct/>
              <w:topLinePunct w:val="0"/>
              <w:bidi w:val="0"/>
              <w:adjustRightInd w:val="0"/>
              <w:snapToGrid w:val="0"/>
              <w:spacing w:line="360" w:lineRule="exact"/>
              <w:ind w:firstLine="480" w:firstLineChars="200"/>
              <w:textAlignment w:val="auto"/>
              <w:rPr>
                <w:rFonts w:ascii="宋体" w:hAnsi="宋体" w:eastAsia="宋体" w:cs="宋体"/>
                <w:sz w:val="24"/>
                <w:szCs w:val="24"/>
              </w:rPr>
            </w:pPr>
            <w:r>
              <w:rPr>
                <w:rFonts w:ascii="宋体" w:hAnsi="宋体" w:eastAsia="宋体" w:cs="宋体"/>
                <w:sz w:val="24"/>
                <w:szCs w:val="24"/>
              </w:rPr>
              <w:t>海洋捕捞渔业具有作业范围广、生产类型多</w:t>
            </w:r>
            <w:r>
              <w:rPr>
                <w:rFonts w:hint="eastAsia" w:ascii="宋体" w:hAnsi="宋体" w:eastAsia="宋体" w:cs="宋体"/>
                <w:sz w:val="24"/>
                <w:szCs w:val="24"/>
                <w:lang w:val="en-US" w:eastAsia="zh-CN"/>
              </w:rPr>
              <w:t>和</w:t>
            </w:r>
            <w:r>
              <w:rPr>
                <w:rFonts w:ascii="宋体" w:hAnsi="宋体" w:eastAsia="宋体" w:cs="宋体"/>
                <w:sz w:val="24"/>
                <w:szCs w:val="24"/>
              </w:rPr>
              <w:t>监管难度大的特点，传统依靠人工调查、纸质日志和现场执法的管理方式</w:t>
            </w:r>
            <w:r>
              <w:rPr>
                <w:rFonts w:hint="eastAsia" w:ascii="宋体" w:hAnsi="宋体" w:eastAsia="宋体" w:cs="宋体"/>
                <w:sz w:val="24"/>
                <w:szCs w:val="24"/>
                <w:lang w:eastAsia="zh-CN"/>
              </w:rPr>
              <w:t>，</w:t>
            </w:r>
            <w:r>
              <w:rPr>
                <w:rFonts w:ascii="宋体" w:hAnsi="宋体" w:eastAsia="宋体" w:cs="宋体"/>
                <w:sz w:val="24"/>
                <w:szCs w:val="24"/>
              </w:rPr>
              <w:t>存在数据获取效率低和空间覆盖不足等问题，难以满足现代渔业资源养护和智慧渔业发展的需求。本项目面向海洋渔业数字化、智能化监测需求，融合北斗VMS、卫星AIS、海洋遥感环境、船载电子监控（EMS）、渔获图像及船载智能终端等多源数据，综合应用大数据分析、机器学习和深度学习技术，开展“渔船行为智能解析—捕捞活动预测分析—海上生产智能感知”的海洋渔业智能监测技术体系攻关，实现了从渔业宏观活动监测、中尺度渔场预测到微观生产过程识别的全过程智能化监管。</w:t>
            </w:r>
          </w:p>
          <w:p w14:paraId="6BFE2175">
            <w:pPr>
              <w:keepNext w:val="0"/>
              <w:keepLines w:val="0"/>
              <w:pageBreakBefore w:val="0"/>
              <w:widowControl w:val="0"/>
              <w:kinsoku/>
              <w:wordWrap/>
              <w:overflowPunct/>
              <w:topLinePunct w:val="0"/>
              <w:bidi w:val="0"/>
              <w:adjustRightInd w:val="0"/>
              <w:snapToGrid w:val="0"/>
              <w:spacing w:line="360" w:lineRule="exact"/>
              <w:textAlignment w:val="auto"/>
              <w:rPr>
                <w:rFonts w:ascii="Times New Roman" w:hAnsi="Times New Roman" w:eastAsia="宋体" w:cs="Times New Roman"/>
                <w:b/>
                <w:bCs w:val="0"/>
                <w:spacing w:val="2"/>
                <w:sz w:val="24"/>
                <w:szCs w:val="24"/>
              </w:rPr>
            </w:pPr>
            <w:r>
              <w:rPr>
                <w:rFonts w:hint="eastAsia" w:ascii="Times New Roman" w:hAnsi="Times New Roman" w:eastAsia="宋体" w:cs="Times New Roman"/>
                <w:b/>
                <w:bCs w:val="0"/>
                <w:spacing w:val="2"/>
                <w:sz w:val="24"/>
                <w:szCs w:val="24"/>
                <w:lang w:eastAsia="zh-CN"/>
              </w:rPr>
              <w:t>（</w:t>
            </w:r>
            <w:r>
              <w:rPr>
                <w:rFonts w:hint="eastAsia" w:ascii="Times New Roman" w:hAnsi="Times New Roman" w:eastAsia="宋体" w:cs="Times New Roman"/>
                <w:b/>
                <w:bCs w:val="0"/>
                <w:spacing w:val="2"/>
                <w:sz w:val="24"/>
                <w:szCs w:val="24"/>
                <w:lang w:val="en-US" w:eastAsia="zh-CN"/>
              </w:rPr>
              <w:t>1</w:t>
            </w:r>
            <w:r>
              <w:rPr>
                <w:rFonts w:hint="eastAsia" w:ascii="Times New Roman" w:hAnsi="Times New Roman" w:eastAsia="宋体" w:cs="Times New Roman"/>
                <w:b/>
                <w:bCs w:val="0"/>
                <w:spacing w:val="2"/>
                <w:sz w:val="24"/>
                <w:szCs w:val="24"/>
                <w:lang w:eastAsia="zh-CN"/>
              </w:rPr>
              <w:t>）</w:t>
            </w:r>
            <w:r>
              <w:rPr>
                <w:rFonts w:ascii="Times New Roman" w:hAnsi="Times New Roman" w:eastAsia="宋体" w:cs="Times New Roman"/>
                <w:b/>
                <w:bCs w:val="0"/>
                <w:spacing w:val="2"/>
                <w:sz w:val="24"/>
                <w:szCs w:val="24"/>
              </w:rPr>
              <w:t>多源船舶时空大数据融合与渔船生产行为智能解析技术</w:t>
            </w:r>
          </w:p>
          <w:p w14:paraId="774993D9">
            <w:pPr>
              <w:keepNext w:val="0"/>
              <w:keepLines w:val="0"/>
              <w:pageBreakBefore w:val="0"/>
              <w:widowControl w:val="0"/>
              <w:numPr>
                <w:ilvl w:val="0"/>
                <w:numId w:val="0"/>
              </w:numPr>
              <w:kinsoku/>
              <w:wordWrap/>
              <w:overflowPunct/>
              <w:topLinePunct w:val="0"/>
              <w:bidi w:val="0"/>
              <w:adjustRightInd w:val="0"/>
              <w:snapToGrid w:val="0"/>
              <w:spacing w:line="360" w:lineRule="exact"/>
              <w:ind w:firstLine="420" w:firstLineChars="0"/>
              <w:textAlignment w:val="auto"/>
              <w:rPr>
                <w:rFonts w:ascii="宋体" w:hAnsi="宋体" w:eastAsia="宋体" w:cs="宋体"/>
                <w:sz w:val="24"/>
                <w:szCs w:val="24"/>
              </w:rPr>
            </w:pPr>
            <w:r>
              <w:rPr>
                <w:rFonts w:ascii="宋体" w:hAnsi="宋体" w:eastAsia="宋体" w:cs="宋体"/>
                <w:sz w:val="24"/>
                <w:szCs w:val="24"/>
              </w:rPr>
              <w:t>针对传统捕捞努力量统计依赖人工调查、难以实现大范围动态监测的问题，融合北斗 VMS、卫星 AIS 船舶轨迹数据，集成航速、航向、轨迹形态、离岸距离、时间间隔等多维行为特征，构建多源船舶时空数据库；建立拖网、刺网、围网等多类型渔船智能识别模型，实现航行、停泊、捕捞、转载等生产作业状态自动判别；研发航次、网次自动提取算法，实现渔船生产全过程动态监测、捕捞过程追溯与水产品溯源。多渔具作业状态综合识别准确率超过 93%，航次、网次提取结果与现场调查记录误差控制在 7 min 以内，格网化捕捞努力量计算结果与实际生产日志空间相关系数超过 0.96，为渔业监管、资源评估提供基础数据支撑。</w:t>
            </w:r>
          </w:p>
          <w:p w14:paraId="6E80E785">
            <w:pPr>
              <w:keepNext w:val="0"/>
              <w:keepLines w:val="0"/>
              <w:pageBreakBefore w:val="0"/>
              <w:widowControl w:val="0"/>
              <w:kinsoku/>
              <w:wordWrap/>
              <w:overflowPunct/>
              <w:topLinePunct w:val="0"/>
              <w:bidi w:val="0"/>
              <w:adjustRightInd w:val="0"/>
              <w:snapToGrid w:val="0"/>
              <w:spacing w:line="360" w:lineRule="exact"/>
              <w:textAlignment w:val="auto"/>
              <w:rPr>
                <w:rFonts w:ascii="Times New Roman" w:hAnsi="Times New Roman" w:eastAsia="宋体" w:cs="Times New Roman"/>
                <w:bCs/>
                <w:spacing w:val="2"/>
                <w:sz w:val="24"/>
                <w:szCs w:val="24"/>
              </w:rPr>
            </w:pPr>
            <w:r>
              <w:rPr>
                <w:rFonts w:ascii="Times New Roman" w:hAnsi="Times New Roman" w:eastAsia="宋体" w:cs="Times New Roman"/>
                <w:b/>
                <w:bCs w:val="0"/>
                <w:spacing w:val="2"/>
                <w:sz w:val="24"/>
                <w:szCs w:val="24"/>
              </w:rPr>
              <w:t>（2）基于海洋环境驱动的捕捞强度量化预测与渔场智能分析技术</w:t>
            </w:r>
            <w:r>
              <w:rPr>
                <w:rFonts w:ascii="Times New Roman" w:hAnsi="Times New Roman" w:eastAsia="宋体" w:cs="Times New Roman"/>
                <w:bCs/>
                <w:spacing w:val="2"/>
                <w:sz w:val="24"/>
                <w:szCs w:val="24"/>
              </w:rPr>
              <w:br w:type="textWrapping"/>
            </w:r>
            <w:r>
              <w:rPr>
                <w:rFonts w:hint="eastAsia" w:ascii="Times New Roman" w:hAnsi="Times New Roman" w:eastAsia="宋体" w:cs="Times New Roman"/>
                <w:bCs/>
                <w:spacing w:val="2"/>
                <w:sz w:val="24"/>
                <w:szCs w:val="24"/>
                <w:lang w:val="en-US" w:eastAsia="zh-CN"/>
              </w:rPr>
              <w:tab/>
            </w:r>
            <w:r>
              <w:rPr>
                <w:rFonts w:ascii="宋体" w:hAnsi="宋体" w:eastAsia="宋体" w:cs="宋体"/>
                <w:sz w:val="24"/>
                <w:szCs w:val="24"/>
              </w:rPr>
              <w:t>依托渔船行为解析成果，建立格网化动态捕捞努力量精准量化方法，实现近海、远洋海域捕捞活动时空分布与捕捞压力精细化刻画；融合多源海洋环境数据，综合采用 GAM、MGWR、BRT、深度学习等多尺度分析手段，揭示海洋环境因子对捕捞活动的空间异质性与非线性驱动机制；构建捕捞活动空间预测与渔场适宜性评价模型，实现捕捞热点识别、渔场变化趋势研判，捕捞活动模型预测精度超过 80%，为远洋渔业生产决策、渔业资源养护与限额捕捞管理提供科学依据。</w:t>
            </w:r>
          </w:p>
          <w:p w14:paraId="0F78C1BD">
            <w:pPr>
              <w:keepNext w:val="0"/>
              <w:keepLines w:val="0"/>
              <w:pageBreakBefore w:val="0"/>
              <w:widowControl w:val="0"/>
              <w:kinsoku/>
              <w:wordWrap/>
              <w:overflowPunct/>
              <w:topLinePunct w:val="0"/>
              <w:bidi w:val="0"/>
              <w:adjustRightInd w:val="0"/>
              <w:snapToGrid w:val="0"/>
              <w:spacing w:line="360" w:lineRule="exact"/>
              <w:textAlignment w:val="auto"/>
              <w:rPr>
                <w:rFonts w:ascii="宋体" w:hAnsi="宋体" w:eastAsia="宋体" w:cs="宋体"/>
                <w:sz w:val="24"/>
                <w:szCs w:val="24"/>
              </w:rPr>
            </w:pPr>
            <w:r>
              <w:rPr>
                <w:rFonts w:ascii="Times New Roman" w:hAnsi="Times New Roman" w:eastAsia="宋体" w:cs="Times New Roman"/>
                <w:b/>
                <w:bCs w:val="0"/>
                <w:spacing w:val="2"/>
                <w:sz w:val="24"/>
                <w:szCs w:val="24"/>
              </w:rPr>
              <w:t>（3）复杂海洋环境下智能视觉感知与电子监控关键技术</w:t>
            </w:r>
            <w:r>
              <w:rPr>
                <w:rFonts w:ascii="Times New Roman" w:hAnsi="Times New Roman" w:eastAsia="宋体" w:cs="Times New Roman"/>
                <w:bCs/>
                <w:spacing w:val="2"/>
                <w:sz w:val="24"/>
                <w:szCs w:val="24"/>
              </w:rPr>
              <w:br w:type="textWrapping"/>
            </w:r>
            <w:r>
              <w:rPr>
                <w:rFonts w:hint="eastAsia" w:ascii="Times New Roman" w:hAnsi="Times New Roman" w:eastAsia="宋体" w:cs="Times New Roman"/>
                <w:bCs/>
                <w:spacing w:val="2"/>
                <w:sz w:val="24"/>
                <w:szCs w:val="24"/>
                <w:lang w:val="en-US" w:eastAsia="zh-CN"/>
              </w:rPr>
              <w:tab/>
            </w:r>
            <w:r>
              <w:rPr>
                <w:rFonts w:ascii="宋体" w:hAnsi="宋体" w:eastAsia="宋体" w:cs="宋体"/>
                <w:sz w:val="24"/>
                <w:szCs w:val="24"/>
              </w:rPr>
              <w:t>针对海上生产过程中目标遮挡、尺度变化、船体晃动和复杂光照条件导致传统视觉方法识别困难的问题，研发面向船载应用的轻量化目标检测、目标追踪和视频行为识别技术，构建渔获检测、计数、分级和捕捞行为自动识别模型。</w:t>
            </w:r>
          </w:p>
          <w:p w14:paraId="45A4895C">
            <w:pPr>
              <w:keepNext w:val="0"/>
              <w:keepLines w:val="0"/>
              <w:pageBreakBefore w:val="0"/>
              <w:widowControl w:val="0"/>
              <w:kinsoku/>
              <w:wordWrap/>
              <w:overflowPunct/>
              <w:topLinePunct w:val="0"/>
              <w:bidi w:val="0"/>
              <w:adjustRightInd w:val="0"/>
              <w:snapToGrid w:val="0"/>
              <w:spacing w:line="360" w:lineRule="exact"/>
              <w:textAlignment w:val="auto"/>
              <w:rPr>
                <w:rFonts w:ascii="宋体" w:hAnsi="宋体" w:eastAsia="宋体" w:cs="宋体"/>
                <w:sz w:val="24"/>
                <w:szCs w:val="24"/>
              </w:rPr>
            </w:pPr>
            <w:r>
              <w:rPr>
                <w:rFonts w:ascii="宋体" w:hAnsi="宋体" w:eastAsia="宋体" w:cs="宋体"/>
                <w:sz w:val="24"/>
                <w:szCs w:val="24"/>
              </w:rPr>
              <w:t>开发船载视频OCR信息提取技术，实现时间、位置、航速和作业信息自动解析，形成“视频信息提取—渔获智能检测—生产过程识别”的一体化技术方案。研制了“渔船多源感知和AI一体化智能终端成套装备”，集成光学、气象、视频和人工智能分析模块，实现船载环境下多源数据原位采集、智能处理和稳定传输。</w:t>
            </w:r>
          </w:p>
          <w:p w14:paraId="2DDFEECD">
            <w:pPr>
              <w:keepNext w:val="0"/>
              <w:keepLines w:val="0"/>
              <w:pageBreakBefore w:val="0"/>
              <w:widowControl w:val="0"/>
              <w:kinsoku/>
              <w:wordWrap/>
              <w:overflowPunct/>
              <w:topLinePunct w:val="0"/>
              <w:bidi w:val="0"/>
              <w:adjustRightInd w:val="0"/>
              <w:snapToGrid w:val="0"/>
              <w:spacing w:line="360" w:lineRule="exact"/>
              <w:ind w:firstLine="420" w:firstLineChars="0"/>
              <w:textAlignment w:val="auto"/>
              <w:rPr>
                <w:rFonts w:hint="eastAsia" w:ascii="仿宋" w:hAnsi="仿宋" w:eastAsia="仿宋"/>
              </w:rPr>
            </w:pPr>
            <w:r>
              <w:rPr>
                <w:rFonts w:ascii="宋体" w:hAnsi="宋体" w:eastAsia="宋体" w:cs="宋体"/>
                <w:sz w:val="24"/>
                <w:szCs w:val="24"/>
              </w:rPr>
              <w:t>项目发表论文47篇，授权发明专利</w:t>
            </w:r>
            <w:r>
              <w:rPr>
                <w:rFonts w:hint="eastAsia" w:ascii="宋体" w:hAnsi="宋体" w:eastAsia="宋体" w:cs="宋体"/>
                <w:sz w:val="24"/>
                <w:szCs w:val="24"/>
                <w:lang w:val="en-US" w:eastAsia="zh-CN"/>
              </w:rPr>
              <w:t>23</w:t>
            </w:r>
            <w:r>
              <w:rPr>
                <w:rFonts w:ascii="宋体" w:hAnsi="宋体" w:eastAsia="宋体" w:cs="宋体"/>
                <w:sz w:val="24"/>
                <w:szCs w:val="24"/>
              </w:rPr>
              <w:t>项</w:t>
            </w:r>
            <w:r>
              <w:rPr>
                <w:rFonts w:hint="eastAsia" w:ascii="宋体" w:hAnsi="宋体" w:eastAsia="宋体" w:cs="宋体"/>
                <w:sz w:val="24"/>
                <w:szCs w:val="24"/>
                <w:lang w:eastAsia="zh-CN"/>
              </w:rPr>
              <w:t>，</w:t>
            </w:r>
            <w:r>
              <w:rPr>
                <w:rFonts w:ascii="宋体" w:hAnsi="宋体" w:eastAsia="宋体" w:cs="宋体"/>
                <w:sz w:val="24"/>
                <w:szCs w:val="24"/>
              </w:rPr>
              <w:t>海洋渔业智能监测</w:t>
            </w:r>
            <w:r>
              <w:rPr>
                <w:rFonts w:hint="eastAsia" w:ascii="宋体" w:hAnsi="宋体" w:eastAsia="宋体" w:cs="宋体"/>
                <w:sz w:val="24"/>
                <w:szCs w:val="24"/>
                <w:lang w:val="en-US" w:eastAsia="zh-CN"/>
              </w:rPr>
              <w:t>装备1个</w:t>
            </w:r>
            <w:r>
              <w:rPr>
                <w:rFonts w:ascii="宋体" w:hAnsi="宋体" w:eastAsia="宋体" w:cs="宋体"/>
                <w:sz w:val="24"/>
                <w:szCs w:val="24"/>
              </w:rPr>
              <w:t>。相关技术已在近海捕捞监管、远洋渔业监测</w:t>
            </w:r>
            <w:r>
              <w:rPr>
                <w:rFonts w:hint="eastAsia" w:ascii="宋体" w:hAnsi="宋体" w:eastAsia="宋体" w:cs="宋体"/>
                <w:sz w:val="24"/>
                <w:szCs w:val="24"/>
                <w:lang w:val="en-US" w:eastAsia="zh-CN"/>
              </w:rPr>
              <w:t>和</w:t>
            </w:r>
            <w:r>
              <w:rPr>
                <w:rFonts w:ascii="宋体" w:hAnsi="宋体" w:eastAsia="宋体" w:cs="宋体"/>
                <w:sz w:val="24"/>
                <w:szCs w:val="24"/>
              </w:rPr>
              <w:t>渔获智能分拣等领域开展应用，</w:t>
            </w:r>
            <w:r>
              <w:rPr>
                <w:rFonts w:hint="eastAsia" w:ascii="宋体" w:hAnsi="宋体" w:eastAsia="宋体" w:cs="宋体"/>
                <w:sz w:val="24"/>
                <w:szCs w:val="24"/>
                <w:lang w:val="en-US" w:eastAsia="zh-CN"/>
              </w:rPr>
              <w:t>近三年</w:t>
            </w:r>
            <w:r>
              <w:rPr>
                <w:rFonts w:ascii="宋体" w:hAnsi="宋体" w:eastAsia="宋体" w:cs="宋体"/>
                <w:sz w:val="24"/>
                <w:szCs w:val="24"/>
              </w:rPr>
              <w:t>累计实现新增销售额</w:t>
            </w:r>
            <w:r>
              <w:rPr>
                <w:rFonts w:hint="eastAsia" w:ascii="宋体" w:hAnsi="宋体" w:eastAsia="宋体" w:cs="宋体"/>
                <w:sz w:val="24"/>
                <w:szCs w:val="24"/>
                <w:lang w:val="en-US" w:eastAsia="zh-CN"/>
              </w:rPr>
              <w:t>149031.3</w:t>
            </w:r>
            <w:r>
              <w:rPr>
                <w:rFonts w:ascii="宋体" w:hAnsi="宋体" w:eastAsia="宋体" w:cs="宋体"/>
                <w:sz w:val="24"/>
                <w:szCs w:val="24"/>
              </w:rPr>
              <w:t>万元，新增利润</w:t>
            </w:r>
            <w:r>
              <w:rPr>
                <w:rFonts w:hint="eastAsia" w:ascii="宋体" w:hAnsi="宋体" w:eastAsia="宋体" w:cs="宋体"/>
                <w:sz w:val="24"/>
                <w:szCs w:val="24"/>
                <w:lang w:val="en-US" w:eastAsia="zh-CN"/>
              </w:rPr>
              <w:t>19051.54</w:t>
            </w:r>
            <w:r>
              <w:rPr>
                <w:rFonts w:ascii="宋体" w:hAnsi="宋体" w:eastAsia="宋体" w:cs="宋体"/>
                <w:sz w:val="24"/>
                <w:szCs w:val="24"/>
              </w:rPr>
              <w:t>万元</w:t>
            </w:r>
            <w:r>
              <w:rPr>
                <w:rFonts w:hint="eastAsia" w:ascii="宋体" w:hAnsi="宋体" w:eastAsia="宋体" w:cs="宋体"/>
                <w:sz w:val="24"/>
                <w:szCs w:val="24"/>
                <w:lang w:eastAsia="zh-CN"/>
              </w:rPr>
              <w:t>，</w:t>
            </w:r>
            <w:r>
              <w:rPr>
                <w:rFonts w:ascii="宋体" w:hAnsi="宋体" w:eastAsia="宋体" w:cs="宋体"/>
                <w:sz w:val="24"/>
                <w:szCs w:val="24"/>
              </w:rPr>
              <w:t>为我国海洋渔业数字化监管、资源养护和智慧渔业建设提供了重要技术支撑。</w:t>
            </w:r>
          </w:p>
        </w:tc>
      </w:tr>
      <w:tr w14:paraId="1A193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3" w:hRule="atLeast"/>
          <w:jc w:val="center"/>
        </w:trPr>
        <w:tc>
          <w:tcPr>
            <w:tcW w:w="1615" w:type="dxa"/>
            <w:vAlign w:val="center"/>
          </w:tcPr>
          <w:p w14:paraId="46031004">
            <w:pPr>
              <w:snapToGrid w:val="0"/>
              <w:jc w:val="center"/>
              <w:rPr>
                <w:rFonts w:hint="eastAsia" w:ascii="仿宋" w:hAnsi="仿宋" w:eastAsia="仿宋"/>
                <w:b/>
                <w:bCs/>
              </w:rPr>
            </w:pPr>
            <w:r>
              <w:rPr>
                <w:rFonts w:ascii="仿宋" w:hAnsi="仿宋" w:eastAsia="仿宋"/>
                <w:b/>
                <w:bCs/>
              </w:rPr>
              <w:t>客观评价</w:t>
            </w:r>
          </w:p>
        </w:tc>
        <w:tc>
          <w:tcPr>
            <w:tcW w:w="7849" w:type="dxa"/>
            <w:vAlign w:val="center"/>
          </w:tcPr>
          <w:p w14:paraId="66C4A781">
            <w:pPr>
              <w:keepNext w:val="0"/>
              <w:keepLines w:val="0"/>
              <w:pageBreakBefore w:val="0"/>
              <w:widowControl w:val="0"/>
              <w:numPr>
                <w:ilvl w:val="0"/>
                <w:numId w:val="0"/>
              </w:numPr>
              <w:kinsoku/>
              <w:wordWrap/>
              <w:overflowPunct/>
              <w:topLinePunct w:val="0"/>
              <w:bidi w:val="0"/>
              <w:adjustRightInd w:val="0"/>
              <w:snapToGrid w:val="0"/>
              <w:spacing w:line="360" w:lineRule="exact"/>
              <w:ind w:leftChars="0" w:firstLine="420" w:firstLineChars="0"/>
              <w:textAlignment w:val="auto"/>
              <w:rPr>
                <w:rFonts w:ascii="Times New Roman" w:hAnsi="Times New Roman" w:eastAsia="宋体" w:cs="Times New Roman"/>
                <w:bCs/>
                <w:spacing w:val="2"/>
                <w:sz w:val="24"/>
                <w:szCs w:val="24"/>
              </w:rPr>
            </w:pPr>
            <w:r>
              <w:rPr>
                <w:rFonts w:ascii="Times New Roman" w:hAnsi="Times New Roman" w:eastAsia="宋体" w:cs="Times New Roman"/>
                <w:bCs/>
                <w:spacing w:val="2"/>
                <w:sz w:val="24"/>
                <w:szCs w:val="24"/>
              </w:rPr>
              <w:t>项目已形成较完整的自主知识产权体系，相关技术成果已应用于远洋渔业监管、渔场智能服务、捕捞资源管理和智能装备应用等领域。项目研发的“渔船多源感知和AI一体化智能终端成套装备”入选2024中国农业农村重大科技新成果（新装备类），体现了该成果在农业农村科技装备领域的创新价值和应用潜力。</w:t>
            </w:r>
          </w:p>
          <w:p w14:paraId="5B0773F7">
            <w:pPr>
              <w:keepNext w:val="0"/>
              <w:keepLines w:val="0"/>
              <w:pageBreakBefore w:val="0"/>
              <w:widowControl w:val="0"/>
              <w:numPr>
                <w:ilvl w:val="0"/>
                <w:numId w:val="0"/>
              </w:numPr>
              <w:kinsoku/>
              <w:wordWrap/>
              <w:overflowPunct/>
              <w:topLinePunct w:val="0"/>
              <w:bidi w:val="0"/>
              <w:adjustRightInd w:val="0"/>
              <w:snapToGrid w:val="0"/>
              <w:spacing w:line="360" w:lineRule="exact"/>
              <w:ind w:leftChars="0" w:firstLine="420" w:firstLineChars="0"/>
              <w:textAlignment w:val="auto"/>
              <w:rPr>
                <w:rFonts w:hint="eastAsia" w:ascii="仿宋" w:hAnsi="仿宋" w:eastAsia="仿宋"/>
              </w:rPr>
            </w:pPr>
            <w:r>
              <w:rPr>
                <w:rFonts w:ascii="Times New Roman" w:hAnsi="Times New Roman" w:eastAsia="宋体" w:cs="Times New Roman"/>
                <w:bCs/>
                <w:spacing w:val="2"/>
                <w:sz w:val="24"/>
                <w:szCs w:val="24"/>
              </w:rPr>
              <w:t>中国科学院上海科技查新咨询中心、中国水产科学研究院渔业综合信息研究中心分别围绕海洋渔业智能决策服务系统</w:t>
            </w:r>
            <w:r>
              <w:rPr>
                <w:rFonts w:hint="eastAsia" w:ascii="Times New Roman" w:hAnsi="Times New Roman" w:eastAsia="宋体" w:cs="Times New Roman"/>
                <w:bCs/>
                <w:spacing w:val="2"/>
                <w:sz w:val="24"/>
                <w:szCs w:val="24"/>
                <w:lang w:val="en-US" w:eastAsia="zh-CN"/>
              </w:rPr>
              <w:t>和</w:t>
            </w:r>
            <w:r>
              <w:rPr>
                <w:rFonts w:ascii="Times New Roman" w:hAnsi="Times New Roman" w:eastAsia="宋体" w:cs="Times New Roman"/>
                <w:bCs/>
                <w:spacing w:val="2"/>
                <w:sz w:val="24"/>
                <w:szCs w:val="24"/>
              </w:rPr>
              <w:t>渔船多源感知和AI一体化智能终端开展科技查新。查新结果表明，在公开文献和专利范围内，未发现与项目关键技术特征完全相同的国内外公开报道，项目相关技术具有新颖性。</w:t>
            </w:r>
          </w:p>
        </w:tc>
      </w:tr>
      <w:tr w14:paraId="74714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5" w:type="dxa"/>
            <w:vMerge w:val="restart"/>
            <w:vAlign w:val="center"/>
          </w:tcPr>
          <w:p w14:paraId="53D3D60A">
            <w:pPr>
              <w:snapToGrid w:val="0"/>
              <w:jc w:val="center"/>
              <w:rPr>
                <w:rFonts w:hint="eastAsia" w:ascii="仿宋" w:hAnsi="仿宋" w:eastAsia="仿宋"/>
                <w:b/>
                <w:bCs/>
              </w:rPr>
            </w:pPr>
            <w:r>
              <w:rPr>
                <w:rFonts w:ascii="仿宋" w:hAnsi="仿宋" w:eastAsia="仿宋"/>
                <w:b/>
                <w:bCs/>
              </w:rPr>
              <w:t>主要知识产权目录</w:t>
            </w:r>
          </w:p>
        </w:tc>
        <w:tc>
          <w:tcPr>
            <w:tcW w:w="7849" w:type="dxa"/>
            <w:shd w:val="clear"/>
            <w:vAlign w:val="top"/>
          </w:tcPr>
          <w:p w14:paraId="082D3F07">
            <w:pPr>
              <w:pStyle w:val="4"/>
              <w:adjustRightInd w:val="0"/>
              <w:snapToGrid w:val="0"/>
              <w:spacing w:line="320" w:lineRule="exact"/>
              <w:ind w:firstLine="0" w:firstLineChars="0"/>
              <w:jc w:val="left"/>
              <w:textAlignment w:val="center"/>
              <w:rPr>
                <w:rFonts w:ascii="Arial"/>
                <w:sz w:val="21"/>
              </w:rPr>
            </w:pPr>
            <w:r>
              <w:rPr>
                <w:rFonts w:hint="eastAsia" w:ascii="Times New Roman"/>
                <w:color w:val="000000"/>
                <w:sz w:val="21"/>
              </w:rPr>
              <w:t>发明专利</w:t>
            </w:r>
            <w:r>
              <w:rPr>
                <w:rFonts w:hint="eastAsia" w:ascii="Times New Roman"/>
                <w:color w:val="000000"/>
                <w:sz w:val="21"/>
                <w:lang w:eastAsia="zh-CN"/>
              </w:rPr>
              <w:t>：</w:t>
            </w:r>
            <w:r>
              <w:rPr>
                <w:rFonts w:ascii="Times New Roman"/>
                <w:color w:val="000000"/>
                <w:sz w:val="21"/>
              </w:rPr>
              <w:t>一种基于北斗船位数据的渔船在港和出海时间的分析方法</w:t>
            </w:r>
            <w:r>
              <w:rPr>
                <w:rFonts w:hint="eastAsia" w:ascii="Times New Roman"/>
                <w:color w:val="000000"/>
                <w:sz w:val="21"/>
                <w:lang w:eastAsia="zh-CN"/>
              </w:rPr>
              <w:t>，</w:t>
            </w:r>
            <w:r>
              <w:rPr>
                <w:rFonts w:hint="eastAsia" w:ascii="Times New Roman"/>
                <w:color w:val="000000"/>
                <w:sz w:val="21"/>
              </w:rPr>
              <w:t>中国</w:t>
            </w:r>
          </w:p>
          <w:p w14:paraId="61CDE1A8">
            <w:pPr>
              <w:pStyle w:val="4"/>
              <w:adjustRightInd w:val="0"/>
              <w:snapToGrid w:val="0"/>
              <w:spacing w:line="320" w:lineRule="exact"/>
              <w:ind w:firstLine="0" w:firstLineChars="0"/>
              <w:jc w:val="left"/>
              <w:textAlignment w:val="center"/>
              <w:rPr>
                <w:rFonts w:hint="eastAsia" w:ascii="Arial" w:hAnsi="Times New Roman" w:eastAsia="宋体" w:cs="Times New Roman"/>
                <w:kern w:val="2"/>
                <w:sz w:val="21"/>
                <w:szCs w:val="24"/>
                <w:lang w:val="en-US" w:eastAsia="zh-CN" w:bidi="ar-SA"/>
              </w:rPr>
            </w:pPr>
            <w:r>
              <w:rPr>
                <w:rFonts w:ascii="Times New Roman"/>
                <w:color w:val="000000"/>
                <w:sz w:val="21"/>
              </w:rPr>
              <w:t>ZL 201810802074.5</w:t>
            </w:r>
          </w:p>
        </w:tc>
      </w:tr>
      <w:tr w14:paraId="25173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5" w:type="dxa"/>
            <w:vMerge w:val="continue"/>
            <w:vAlign w:val="center"/>
          </w:tcPr>
          <w:p w14:paraId="387F4300">
            <w:pPr>
              <w:snapToGrid w:val="0"/>
              <w:jc w:val="center"/>
              <w:rPr>
                <w:rFonts w:hint="eastAsia" w:ascii="仿宋" w:hAnsi="仿宋" w:eastAsia="仿宋"/>
                <w:b/>
                <w:bCs/>
              </w:rPr>
            </w:pPr>
          </w:p>
        </w:tc>
        <w:tc>
          <w:tcPr>
            <w:tcW w:w="7849" w:type="dxa"/>
            <w:vAlign w:val="top"/>
          </w:tcPr>
          <w:p w14:paraId="053A3530">
            <w:pPr>
              <w:pStyle w:val="4"/>
              <w:adjustRightInd w:val="0"/>
              <w:snapToGrid w:val="0"/>
              <w:spacing w:line="320" w:lineRule="exact"/>
              <w:ind w:firstLine="0" w:firstLineChars="0"/>
              <w:jc w:val="left"/>
              <w:textAlignment w:val="center"/>
              <w:rPr>
                <w:rFonts w:hint="eastAsia" w:eastAsia="宋体"/>
                <w:lang w:eastAsia="zh-CN"/>
              </w:rPr>
            </w:pPr>
            <w:r>
              <w:rPr>
                <w:rFonts w:hint="eastAsia" w:ascii="Times New Roman"/>
                <w:color w:val="000000"/>
                <w:sz w:val="21"/>
              </w:rPr>
              <w:t>发明专利</w:t>
            </w:r>
            <w:r>
              <w:rPr>
                <w:rFonts w:hint="eastAsia" w:ascii="Times New Roman"/>
                <w:color w:val="000000"/>
                <w:sz w:val="21"/>
                <w:lang w:eastAsia="zh-CN"/>
              </w:rPr>
              <w:t>：</w:t>
            </w:r>
            <w:r>
              <w:rPr>
                <w:rFonts w:hint="eastAsia" w:ascii="Times New Roman"/>
                <w:color w:val="000000"/>
                <w:sz w:val="21"/>
              </w:rPr>
              <w:t>基于YOLOv7-MO的毛虾捕捞目标识别与计数系统及其操作方法</w:t>
            </w:r>
            <w:r>
              <w:rPr>
                <w:rFonts w:hint="eastAsia" w:ascii="Times New Roman"/>
                <w:color w:val="000000"/>
                <w:sz w:val="21"/>
                <w:lang w:eastAsia="zh-CN"/>
              </w:rPr>
              <w:t>，</w:t>
            </w:r>
            <w:r>
              <w:rPr>
                <w:rFonts w:hint="eastAsia" w:ascii="Times New Roman"/>
                <w:color w:val="000000"/>
                <w:sz w:val="21"/>
              </w:rPr>
              <w:t>中国</w:t>
            </w:r>
            <w:r>
              <w:rPr>
                <w:rFonts w:hint="eastAsia" w:ascii="Times New Roman"/>
                <w:color w:val="000000"/>
                <w:sz w:val="21"/>
                <w:lang w:eastAsia="zh-CN"/>
              </w:rPr>
              <w:t>，</w:t>
            </w:r>
            <w:r>
              <w:rPr>
                <w:rFonts w:ascii="Times New Roman"/>
                <w:color w:val="000000"/>
                <w:sz w:val="21"/>
              </w:rPr>
              <w:t>ZL 202310271878.8</w:t>
            </w:r>
          </w:p>
        </w:tc>
      </w:tr>
      <w:tr w14:paraId="7D4D7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5" w:type="dxa"/>
            <w:vMerge w:val="continue"/>
            <w:vAlign w:val="center"/>
          </w:tcPr>
          <w:p w14:paraId="05F09E58">
            <w:pPr>
              <w:snapToGrid w:val="0"/>
              <w:jc w:val="center"/>
              <w:rPr>
                <w:rFonts w:hint="eastAsia" w:ascii="仿宋" w:hAnsi="仿宋" w:eastAsia="仿宋"/>
                <w:b/>
                <w:bCs/>
              </w:rPr>
            </w:pPr>
          </w:p>
        </w:tc>
        <w:tc>
          <w:tcPr>
            <w:tcW w:w="7849" w:type="dxa"/>
            <w:vAlign w:val="top"/>
          </w:tcPr>
          <w:p w14:paraId="7AF7538E">
            <w:pPr>
              <w:pStyle w:val="4"/>
              <w:adjustRightInd w:val="0"/>
              <w:snapToGrid w:val="0"/>
              <w:spacing w:line="320" w:lineRule="exact"/>
              <w:ind w:firstLine="0" w:firstLineChars="0"/>
              <w:textAlignment w:val="center"/>
              <w:rPr>
                <w:rFonts w:hint="eastAsia"/>
              </w:rPr>
            </w:pPr>
            <w:r>
              <w:rPr>
                <w:rFonts w:hint="eastAsia" w:ascii="Times New Roman"/>
                <w:color w:val="000000"/>
                <w:sz w:val="21"/>
              </w:rPr>
              <w:t>发明专利</w:t>
            </w:r>
            <w:r>
              <w:rPr>
                <w:rFonts w:hint="eastAsia" w:ascii="Times New Roman"/>
                <w:color w:val="000000"/>
                <w:sz w:val="21"/>
                <w:lang w:eastAsia="zh-CN"/>
              </w:rPr>
              <w:t>：</w:t>
            </w:r>
            <w:r>
              <w:rPr>
                <w:rFonts w:ascii="Times New Roman"/>
                <w:color w:val="000000"/>
                <w:sz w:val="21"/>
              </w:rPr>
              <w:t>一种基于深度学习的梭子蟹船载智能分拣模型</w:t>
            </w:r>
            <w:r>
              <w:rPr>
                <w:rFonts w:hint="eastAsia" w:ascii="Times New Roman"/>
                <w:color w:val="000000"/>
                <w:sz w:val="21"/>
                <w:lang w:eastAsia="zh-CN"/>
              </w:rPr>
              <w:t>，</w:t>
            </w:r>
            <w:r>
              <w:rPr>
                <w:rFonts w:hint="eastAsia" w:ascii="Times New Roman"/>
                <w:color w:val="000000"/>
                <w:sz w:val="21"/>
              </w:rPr>
              <w:t>中国</w:t>
            </w:r>
            <w:r>
              <w:rPr>
                <w:rFonts w:hint="eastAsia" w:ascii="Times New Roman"/>
                <w:color w:val="000000"/>
                <w:sz w:val="21"/>
                <w:lang w:eastAsia="zh-CN"/>
              </w:rPr>
              <w:t>，</w:t>
            </w:r>
            <w:r>
              <w:rPr>
                <w:rFonts w:ascii="Times New Roman"/>
                <w:color w:val="000000"/>
                <w:sz w:val="21"/>
              </w:rPr>
              <w:t>ZL 202510712761.8</w:t>
            </w:r>
          </w:p>
        </w:tc>
      </w:tr>
      <w:tr w14:paraId="071EF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5" w:type="dxa"/>
            <w:vMerge w:val="continue"/>
            <w:vAlign w:val="center"/>
          </w:tcPr>
          <w:p w14:paraId="206638B3">
            <w:pPr>
              <w:snapToGrid w:val="0"/>
              <w:jc w:val="center"/>
              <w:rPr>
                <w:rFonts w:hint="eastAsia" w:ascii="仿宋" w:hAnsi="仿宋" w:eastAsia="仿宋"/>
                <w:b/>
                <w:bCs/>
              </w:rPr>
            </w:pPr>
          </w:p>
        </w:tc>
        <w:tc>
          <w:tcPr>
            <w:tcW w:w="7849" w:type="dxa"/>
            <w:vAlign w:val="top"/>
          </w:tcPr>
          <w:p w14:paraId="0C99E626">
            <w:pPr>
              <w:pStyle w:val="4"/>
              <w:adjustRightInd w:val="0"/>
              <w:snapToGrid w:val="0"/>
              <w:spacing w:line="320" w:lineRule="exact"/>
              <w:ind w:firstLine="0" w:firstLineChars="0"/>
              <w:textAlignment w:val="center"/>
              <w:rPr>
                <w:rFonts w:hint="eastAsia" w:eastAsia="宋体"/>
                <w:lang w:eastAsia="zh-CN"/>
              </w:rPr>
            </w:pPr>
            <w:r>
              <w:rPr>
                <w:rFonts w:hint="eastAsia" w:ascii="Times New Roman"/>
                <w:color w:val="000000"/>
                <w:sz w:val="21"/>
              </w:rPr>
              <w:t>发明专利</w:t>
            </w:r>
            <w:r>
              <w:rPr>
                <w:rFonts w:hint="eastAsia" w:ascii="Times New Roman"/>
                <w:color w:val="000000"/>
                <w:sz w:val="21"/>
                <w:lang w:eastAsia="zh-CN"/>
              </w:rPr>
              <w:t>：</w:t>
            </w:r>
            <w:r>
              <w:t>一种鱼苗计数装置</w:t>
            </w:r>
            <w:r>
              <w:rPr>
                <w:rFonts w:hint="eastAsia" w:ascii="Times New Roman"/>
                <w:color w:val="000000"/>
                <w:sz w:val="21"/>
                <w:lang w:eastAsia="zh-CN"/>
              </w:rPr>
              <w:t>，</w:t>
            </w:r>
            <w:r>
              <w:rPr>
                <w:rFonts w:hint="eastAsia" w:ascii="Times New Roman"/>
                <w:color w:val="000000"/>
                <w:sz w:val="21"/>
              </w:rPr>
              <w:t>中国</w:t>
            </w:r>
            <w:r>
              <w:rPr>
                <w:rFonts w:hint="eastAsia" w:ascii="Times New Roman"/>
                <w:color w:val="000000"/>
                <w:sz w:val="21"/>
                <w:lang w:eastAsia="zh-CN"/>
              </w:rPr>
              <w:t>，</w:t>
            </w:r>
            <w:r>
              <w:rPr>
                <w:rFonts w:ascii="Times New Roman"/>
                <w:color w:val="000000"/>
                <w:sz w:val="21"/>
              </w:rPr>
              <w:t>ZL</w:t>
            </w:r>
            <w:r>
              <w:rPr>
                <w:rFonts w:hint="eastAsia" w:ascii="Times New Roman"/>
                <w:color w:val="000000"/>
                <w:sz w:val="21"/>
              </w:rPr>
              <w:t xml:space="preserve"> </w:t>
            </w:r>
            <w:r>
              <w:rPr>
                <w:rFonts w:ascii="Times New Roman"/>
                <w:color w:val="000000"/>
                <w:sz w:val="21"/>
              </w:rPr>
              <w:t>202110337640.1</w:t>
            </w:r>
          </w:p>
        </w:tc>
      </w:tr>
      <w:tr w14:paraId="1F2EA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5" w:type="dxa"/>
            <w:vMerge w:val="continue"/>
            <w:vAlign w:val="center"/>
          </w:tcPr>
          <w:p w14:paraId="4B36AE02">
            <w:pPr>
              <w:snapToGrid w:val="0"/>
              <w:jc w:val="center"/>
              <w:rPr>
                <w:rFonts w:hint="eastAsia" w:ascii="仿宋" w:hAnsi="仿宋" w:eastAsia="仿宋"/>
                <w:b/>
                <w:bCs/>
              </w:rPr>
            </w:pPr>
          </w:p>
        </w:tc>
        <w:tc>
          <w:tcPr>
            <w:tcW w:w="7849" w:type="dxa"/>
            <w:vAlign w:val="top"/>
          </w:tcPr>
          <w:p w14:paraId="0BBE50CE">
            <w:pPr>
              <w:pStyle w:val="4"/>
              <w:adjustRightInd w:val="0"/>
              <w:snapToGrid w:val="0"/>
              <w:spacing w:line="320" w:lineRule="exact"/>
              <w:ind w:firstLine="0" w:firstLineChars="0"/>
              <w:textAlignment w:val="center"/>
              <w:rPr>
                <w:rFonts w:hint="eastAsia" w:eastAsia="宋体"/>
                <w:lang w:eastAsia="zh-CN"/>
              </w:rPr>
            </w:pPr>
            <w:r>
              <w:rPr>
                <w:rFonts w:hint="eastAsia" w:ascii="Times New Roman"/>
                <w:color w:val="000000"/>
                <w:sz w:val="21"/>
              </w:rPr>
              <w:t>发明专利</w:t>
            </w:r>
            <w:r>
              <w:rPr>
                <w:rFonts w:hint="eastAsia" w:ascii="Times New Roman"/>
                <w:color w:val="000000"/>
                <w:sz w:val="21"/>
                <w:lang w:eastAsia="zh-CN"/>
              </w:rPr>
              <w:t>：</w:t>
            </w:r>
            <w:r>
              <w:t>一种船舶碰撞风险分析方法</w:t>
            </w:r>
            <w:r>
              <w:rPr>
                <w:rFonts w:hint="eastAsia" w:ascii="Times New Roman"/>
                <w:color w:val="000000"/>
                <w:sz w:val="21"/>
                <w:lang w:eastAsia="zh-CN"/>
              </w:rPr>
              <w:t>，</w:t>
            </w:r>
            <w:r>
              <w:rPr>
                <w:rFonts w:hint="eastAsia" w:ascii="Times New Roman"/>
                <w:color w:val="000000"/>
                <w:sz w:val="21"/>
              </w:rPr>
              <w:t>中国</w:t>
            </w:r>
            <w:r>
              <w:rPr>
                <w:rFonts w:hint="eastAsia" w:ascii="Times New Roman"/>
                <w:color w:val="000000"/>
                <w:sz w:val="21"/>
                <w:lang w:eastAsia="zh-CN"/>
              </w:rPr>
              <w:t>，</w:t>
            </w:r>
            <w:r>
              <w:rPr>
                <w:rFonts w:ascii="Times New Roman"/>
                <w:color w:val="000000"/>
                <w:sz w:val="21"/>
              </w:rPr>
              <w:t>ZL 202111510247.4</w:t>
            </w:r>
          </w:p>
        </w:tc>
      </w:tr>
      <w:tr w14:paraId="2FF82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5" w:type="dxa"/>
            <w:vMerge w:val="continue"/>
            <w:vAlign w:val="center"/>
          </w:tcPr>
          <w:p w14:paraId="5CA256E3">
            <w:pPr>
              <w:snapToGrid w:val="0"/>
              <w:jc w:val="center"/>
              <w:rPr>
                <w:rFonts w:hint="eastAsia" w:ascii="仿宋" w:hAnsi="仿宋" w:eastAsia="仿宋"/>
                <w:b/>
                <w:bCs/>
              </w:rPr>
            </w:pPr>
          </w:p>
        </w:tc>
        <w:tc>
          <w:tcPr>
            <w:tcW w:w="7849" w:type="dxa"/>
            <w:vAlign w:val="top"/>
          </w:tcPr>
          <w:p w14:paraId="5AEC2299">
            <w:pPr>
              <w:pStyle w:val="4"/>
              <w:adjustRightInd w:val="0"/>
              <w:snapToGrid w:val="0"/>
              <w:spacing w:line="320" w:lineRule="exact"/>
              <w:ind w:firstLine="0" w:firstLineChars="0"/>
              <w:textAlignment w:val="center"/>
              <w:rPr>
                <w:rFonts w:hint="eastAsia" w:eastAsia="宋体"/>
                <w:lang w:eastAsia="zh-CN"/>
              </w:rPr>
            </w:pPr>
            <w:r>
              <w:rPr>
                <w:rFonts w:hint="eastAsia" w:ascii="Times New Roman"/>
                <w:color w:val="000000"/>
                <w:sz w:val="21"/>
              </w:rPr>
              <w:t>发明专利</w:t>
            </w:r>
            <w:r>
              <w:rPr>
                <w:rFonts w:hint="eastAsia" w:ascii="Times New Roman"/>
                <w:color w:val="000000"/>
                <w:sz w:val="21"/>
                <w:lang w:eastAsia="zh-CN"/>
              </w:rPr>
              <w:t>：</w:t>
            </w:r>
            <w:r>
              <w:t>一种分散式大数据管理与检索的方法</w:t>
            </w:r>
            <w:r>
              <w:rPr>
                <w:rFonts w:hint="eastAsia" w:ascii="Times New Roman"/>
                <w:color w:val="000000"/>
                <w:sz w:val="21"/>
                <w:lang w:eastAsia="zh-CN"/>
              </w:rPr>
              <w:t>，</w:t>
            </w:r>
            <w:r>
              <w:rPr>
                <w:rFonts w:hint="eastAsia" w:ascii="Times New Roman"/>
                <w:color w:val="000000"/>
                <w:sz w:val="21"/>
              </w:rPr>
              <w:t>中国</w:t>
            </w:r>
            <w:r>
              <w:rPr>
                <w:rFonts w:hint="eastAsia" w:ascii="Times New Roman"/>
                <w:color w:val="000000"/>
                <w:sz w:val="21"/>
                <w:lang w:eastAsia="zh-CN"/>
              </w:rPr>
              <w:t>，</w:t>
            </w:r>
            <w:r>
              <w:rPr>
                <w:rFonts w:ascii="Times New Roman"/>
                <w:color w:val="000000"/>
                <w:sz w:val="21"/>
              </w:rPr>
              <w:t>ZL 201610638296.9</w:t>
            </w:r>
          </w:p>
        </w:tc>
      </w:tr>
      <w:tr w14:paraId="08017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5" w:type="dxa"/>
            <w:vMerge w:val="continue"/>
            <w:vAlign w:val="center"/>
          </w:tcPr>
          <w:p w14:paraId="5D691AEE">
            <w:pPr>
              <w:snapToGrid w:val="0"/>
              <w:jc w:val="center"/>
              <w:rPr>
                <w:rFonts w:hint="eastAsia" w:ascii="仿宋" w:hAnsi="仿宋" w:eastAsia="仿宋"/>
                <w:b/>
                <w:bCs/>
              </w:rPr>
            </w:pPr>
          </w:p>
        </w:tc>
        <w:tc>
          <w:tcPr>
            <w:tcW w:w="7849" w:type="dxa"/>
            <w:vAlign w:val="top"/>
          </w:tcPr>
          <w:p w14:paraId="243B0A28">
            <w:pPr>
              <w:pStyle w:val="4"/>
              <w:adjustRightInd w:val="0"/>
              <w:snapToGrid w:val="0"/>
              <w:spacing w:line="320" w:lineRule="exact"/>
              <w:ind w:firstLine="0" w:firstLineChars="0"/>
              <w:textAlignment w:val="center"/>
              <w:rPr>
                <w:rFonts w:hint="eastAsia" w:eastAsia="宋体"/>
                <w:lang w:eastAsia="zh-CN"/>
              </w:rPr>
            </w:pPr>
            <w:r>
              <w:rPr>
                <w:rFonts w:hint="eastAsia" w:ascii="Times New Roman"/>
                <w:color w:val="000000"/>
                <w:sz w:val="21"/>
              </w:rPr>
              <w:t>发明专利</w:t>
            </w:r>
            <w:r>
              <w:rPr>
                <w:rFonts w:hint="eastAsia" w:ascii="Times New Roman"/>
                <w:color w:val="000000"/>
                <w:sz w:val="21"/>
                <w:lang w:eastAsia="zh-CN"/>
              </w:rPr>
              <w:t>：</w:t>
            </w:r>
            <w:r>
              <w:t>基于DBSCAN的VMS定置刺网渔船网次提取方法</w:t>
            </w:r>
            <w:r>
              <w:rPr>
                <w:rFonts w:hint="eastAsia" w:ascii="Times New Roman"/>
                <w:color w:val="000000"/>
                <w:sz w:val="21"/>
                <w:lang w:eastAsia="zh-CN"/>
              </w:rPr>
              <w:t>，</w:t>
            </w:r>
            <w:r>
              <w:rPr>
                <w:rFonts w:hint="eastAsia" w:ascii="Times New Roman"/>
                <w:color w:val="000000"/>
                <w:sz w:val="21"/>
              </w:rPr>
              <w:t>中国</w:t>
            </w:r>
            <w:r>
              <w:rPr>
                <w:rFonts w:hint="eastAsia" w:ascii="Times New Roman"/>
                <w:color w:val="000000"/>
                <w:sz w:val="21"/>
                <w:lang w:eastAsia="zh-CN"/>
              </w:rPr>
              <w:t>，</w:t>
            </w:r>
            <w:r>
              <w:rPr>
                <w:rFonts w:ascii="Times New Roman"/>
                <w:color w:val="000000"/>
                <w:sz w:val="21"/>
              </w:rPr>
              <w:t>ZL 201811405919.3</w:t>
            </w:r>
          </w:p>
        </w:tc>
      </w:tr>
      <w:tr w14:paraId="722F4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5" w:type="dxa"/>
            <w:vMerge w:val="continue"/>
            <w:vAlign w:val="center"/>
          </w:tcPr>
          <w:p w14:paraId="3B4D655B">
            <w:pPr>
              <w:snapToGrid w:val="0"/>
              <w:jc w:val="center"/>
              <w:rPr>
                <w:rFonts w:hint="eastAsia" w:ascii="仿宋" w:hAnsi="仿宋" w:eastAsia="仿宋"/>
                <w:b/>
                <w:bCs/>
              </w:rPr>
            </w:pPr>
          </w:p>
        </w:tc>
        <w:tc>
          <w:tcPr>
            <w:tcW w:w="7849" w:type="dxa"/>
            <w:vAlign w:val="top"/>
          </w:tcPr>
          <w:p w14:paraId="233638D7">
            <w:pPr>
              <w:pStyle w:val="4"/>
              <w:adjustRightInd w:val="0"/>
              <w:snapToGrid w:val="0"/>
              <w:spacing w:line="320" w:lineRule="exact"/>
              <w:ind w:firstLine="0" w:firstLineChars="0"/>
              <w:textAlignment w:val="center"/>
              <w:rPr>
                <w:rFonts w:hint="eastAsia" w:eastAsia="宋体"/>
                <w:lang w:eastAsia="zh-CN"/>
              </w:rPr>
            </w:pPr>
            <w:r>
              <w:rPr>
                <w:rFonts w:hint="eastAsia" w:ascii="Times New Roman"/>
                <w:color w:val="000000"/>
                <w:sz w:val="21"/>
              </w:rPr>
              <w:t>发明专利</w:t>
            </w:r>
            <w:r>
              <w:rPr>
                <w:rFonts w:hint="eastAsia" w:ascii="Times New Roman"/>
                <w:color w:val="000000"/>
                <w:sz w:val="21"/>
                <w:lang w:eastAsia="zh-CN"/>
              </w:rPr>
              <w:t>：</w:t>
            </w:r>
            <w:r>
              <w:t>一种运输船转载特征信息提取方法</w:t>
            </w:r>
            <w:r>
              <w:rPr>
                <w:rFonts w:hint="eastAsia" w:ascii="Times New Roman"/>
                <w:color w:val="000000"/>
                <w:sz w:val="21"/>
                <w:lang w:eastAsia="zh-CN"/>
              </w:rPr>
              <w:t>，</w:t>
            </w:r>
            <w:r>
              <w:rPr>
                <w:rFonts w:hint="eastAsia" w:ascii="Times New Roman"/>
                <w:color w:val="000000"/>
                <w:sz w:val="21"/>
              </w:rPr>
              <w:t>中国</w:t>
            </w:r>
            <w:r>
              <w:rPr>
                <w:rFonts w:hint="eastAsia" w:ascii="Times New Roman"/>
                <w:color w:val="000000"/>
                <w:sz w:val="21"/>
                <w:lang w:eastAsia="zh-CN"/>
              </w:rPr>
              <w:t>，</w:t>
            </w:r>
            <w:r>
              <w:rPr>
                <w:rFonts w:ascii="Times New Roman"/>
                <w:color w:val="000000"/>
                <w:sz w:val="21"/>
              </w:rPr>
              <w:t>ZL 202011619617.3</w:t>
            </w:r>
          </w:p>
        </w:tc>
      </w:tr>
      <w:tr w14:paraId="33850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5" w:type="dxa"/>
            <w:vMerge w:val="continue"/>
            <w:vAlign w:val="center"/>
          </w:tcPr>
          <w:p w14:paraId="1C03C880">
            <w:pPr>
              <w:snapToGrid w:val="0"/>
              <w:jc w:val="center"/>
              <w:rPr>
                <w:rFonts w:hint="eastAsia" w:ascii="仿宋" w:hAnsi="仿宋" w:eastAsia="仿宋"/>
                <w:b/>
                <w:bCs/>
              </w:rPr>
            </w:pPr>
          </w:p>
        </w:tc>
        <w:tc>
          <w:tcPr>
            <w:tcW w:w="7849" w:type="dxa"/>
            <w:vAlign w:val="top"/>
          </w:tcPr>
          <w:p w14:paraId="582F8EC5">
            <w:pPr>
              <w:pStyle w:val="4"/>
              <w:adjustRightInd w:val="0"/>
              <w:snapToGrid w:val="0"/>
              <w:spacing w:line="320" w:lineRule="exact"/>
              <w:ind w:firstLine="0" w:firstLineChars="0"/>
              <w:textAlignment w:val="center"/>
              <w:rPr>
                <w:rFonts w:hint="eastAsia" w:ascii="宋体" w:hAnsi="宋体" w:eastAsia="宋体"/>
                <w:szCs w:val="21"/>
                <w:lang w:eastAsia="zh-CN"/>
              </w:rPr>
            </w:pPr>
            <w:r>
              <w:rPr>
                <w:rFonts w:hint="eastAsia" w:ascii="Times New Roman"/>
                <w:color w:val="000000"/>
                <w:sz w:val="21"/>
              </w:rPr>
              <w:t>发明专利</w:t>
            </w:r>
            <w:r>
              <w:rPr>
                <w:rFonts w:hint="eastAsia" w:ascii="Times New Roman"/>
                <w:color w:val="000000"/>
                <w:sz w:val="21"/>
                <w:lang w:eastAsia="zh-CN"/>
              </w:rPr>
              <w:t>：</w:t>
            </w:r>
            <w:r>
              <w:t>一种提取渔船作业航次中离岸和离港距离的方法</w:t>
            </w:r>
            <w:r>
              <w:rPr>
                <w:rFonts w:hint="eastAsia" w:ascii="Times New Roman"/>
                <w:color w:val="000000"/>
                <w:sz w:val="21"/>
                <w:lang w:eastAsia="zh-CN"/>
              </w:rPr>
              <w:t>，</w:t>
            </w:r>
            <w:r>
              <w:rPr>
                <w:rFonts w:hint="eastAsia" w:ascii="Times New Roman"/>
                <w:color w:val="000000"/>
                <w:sz w:val="21"/>
              </w:rPr>
              <w:t>中国</w:t>
            </w:r>
            <w:r>
              <w:rPr>
                <w:rFonts w:hint="eastAsia" w:ascii="Times New Roman"/>
                <w:color w:val="000000"/>
                <w:sz w:val="21"/>
                <w:lang w:eastAsia="zh-CN"/>
              </w:rPr>
              <w:t>，</w:t>
            </w:r>
            <w:r>
              <w:rPr>
                <w:rFonts w:ascii="Times New Roman"/>
                <w:color w:val="000000"/>
                <w:sz w:val="21"/>
              </w:rPr>
              <w:t>ZL 201910023145.6</w:t>
            </w:r>
            <w:bookmarkStart w:id="0" w:name="_GoBack"/>
            <w:bookmarkEnd w:id="0"/>
          </w:p>
        </w:tc>
      </w:tr>
      <w:tr w14:paraId="141D6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5" w:type="dxa"/>
            <w:vMerge w:val="continue"/>
            <w:vAlign w:val="center"/>
          </w:tcPr>
          <w:p w14:paraId="1125ED2B">
            <w:pPr>
              <w:snapToGrid w:val="0"/>
              <w:jc w:val="center"/>
              <w:rPr>
                <w:rFonts w:hint="eastAsia" w:ascii="仿宋" w:hAnsi="仿宋" w:eastAsia="仿宋"/>
                <w:b/>
                <w:bCs/>
              </w:rPr>
            </w:pPr>
          </w:p>
        </w:tc>
        <w:tc>
          <w:tcPr>
            <w:tcW w:w="7849" w:type="dxa"/>
            <w:vAlign w:val="center"/>
          </w:tcPr>
          <w:p w14:paraId="77084A75">
            <w:pPr>
              <w:jc w:val="center"/>
              <w:rPr>
                <w:rFonts w:hint="eastAsia" w:ascii="宋体" w:hAnsi="宋体"/>
                <w:szCs w:val="21"/>
              </w:rPr>
            </w:pPr>
          </w:p>
        </w:tc>
      </w:tr>
    </w:tbl>
    <w:p w14:paraId="50590B16">
      <w:pPr>
        <w:widowControl/>
        <w:jc w:val="left"/>
        <w:rPr>
          <w:rFonts w:ascii="仿宋" w:hAnsi="仿宋" w:eastAsia="仿宋" w:cs="Times New Roman"/>
          <w:sz w:val="32"/>
          <w:szCs w:val="32"/>
        </w:rPr>
      </w:pPr>
    </w:p>
    <w:p w14:paraId="30514457">
      <w:pPr>
        <w:widowControl/>
        <w:jc w:val="left"/>
        <w:rPr>
          <w:rFonts w:ascii="仿宋" w:hAnsi="仿宋" w:eastAsia="仿宋" w:cs="Times New Roman"/>
          <w:sz w:val="32"/>
          <w:szCs w:val="32"/>
        </w:rPr>
      </w:pPr>
    </w:p>
    <w:sectPr>
      <w:footerReference r:id="rId3" w:type="default"/>
      <w:pgSz w:w="11906" w:h="16838"/>
      <w:pgMar w:top="1985" w:right="1134" w:bottom="1440" w:left="1701"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C81B70">
    <w:pPr>
      <w:pStyle w:val="7"/>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384175"/>
              <wp:effectExtent l="0" t="0" r="0" b="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34035" cy="384175"/>
                      </a:xfrm>
                      <a:prstGeom prst="rect">
                        <a:avLst/>
                      </a:prstGeom>
                      <a:noFill/>
                      <a:ln>
                        <a:noFill/>
                      </a:ln>
                    </wps:spPr>
                    <wps:txbx>
                      <w:txbxContent>
                        <w:p w14:paraId="3BF2B061">
                          <w:pPr>
                            <w:pStyle w:val="7"/>
                            <w:rPr>
                              <w:rStyle w:val="14"/>
                              <w:rFonts w:hint="eastAsia" w:ascii="宋体" w:hAnsi="宋体" w:cs="宋体"/>
                              <w:sz w:val="28"/>
                              <w:szCs w:val="28"/>
                            </w:rPr>
                          </w:pPr>
                          <w:r>
                            <w:rPr>
                              <w:rFonts w:hint="eastAsia" w:ascii="宋体" w:hAnsi="宋体" w:cs="宋体"/>
                              <w:sz w:val="28"/>
                              <w:szCs w:val="28"/>
                            </w:rPr>
                            <w:fldChar w:fldCharType="begin"/>
                          </w:r>
                          <w:r>
                            <w:rPr>
                              <w:rStyle w:val="14"/>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4"/>
                              <w:rFonts w:ascii="宋体" w:hAnsi="宋体" w:cs="宋体"/>
                              <w:sz w:val="28"/>
                              <w:szCs w:val="28"/>
                            </w:rPr>
                            <w:t>- 2 -</w:t>
                          </w:r>
                          <w:r>
                            <w:rPr>
                              <w:rFonts w:hint="eastAsia" w:ascii="宋体" w:hAnsi="宋体" w:cs="宋体"/>
                              <w:sz w:val="28"/>
                              <w:szCs w:val="28"/>
                            </w:rPr>
                            <w:fldChar w:fldCharType="end"/>
                          </w:r>
                        </w:p>
                        <w:p w14:paraId="68654763"/>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30.25pt;width:42.05pt;mso-position-horizontal:outside;mso-position-horizontal-relative:margin;mso-wrap-style:none;z-index:251659264;mso-width-relative:page;mso-height-relative:page;" filled="f" stroked="f" coordsize="21600,21600" o:gfxdata="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E+eQ6dEAAAADAQAADwAAAAAAAAABACAAAAAiAAAAZHJz&#10;L2Rvd25yZXYueG1sUEsBAhQAFAAAAAgAh07iQL3oI0ILAgAAAgQAAA4AAAAAAAAAAQAgAAAAIAEA&#10;AGRycy9lMm9Eb2MueG1sUEsFBgAAAAAGAAYAWQEAAJ0FAAAAAA==&#10;">
              <v:fill on="f" focussize="0,0"/>
              <v:stroke on="f"/>
              <v:imagedata o:title=""/>
              <o:lock v:ext="edit" aspectratio="f"/>
              <v:textbox inset="0mm,0mm,0mm,0mm" style="mso-fit-shape-to-text:t;">
                <w:txbxContent>
                  <w:p w14:paraId="3BF2B061">
                    <w:pPr>
                      <w:pStyle w:val="7"/>
                      <w:rPr>
                        <w:rStyle w:val="14"/>
                        <w:rFonts w:hint="eastAsia" w:ascii="宋体" w:hAnsi="宋体" w:cs="宋体"/>
                        <w:sz w:val="28"/>
                        <w:szCs w:val="28"/>
                      </w:rPr>
                    </w:pPr>
                    <w:r>
                      <w:rPr>
                        <w:rFonts w:hint="eastAsia" w:ascii="宋体" w:hAnsi="宋体" w:cs="宋体"/>
                        <w:sz w:val="28"/>
                        <w:szCs w:val="28"/>
                      </w:rPr>
                      <w:fldChar w:fldCharType="begin"/>
                    </w:r>
                    <w:r>
                      <w:rPr>
                        <w:rStyle w:val="14"/>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4"/>
                        <w:rFonts w:ascii="宋体" w:hAnsi="宋体" w:cs="宋体"/>
                        <w:sz w:val="28"/>
                        <w:szCs w:val="28"/>
                      </w:rPr>
                      <w:t>- 2 -</w:t>
                    </w:r>
                    <w:r>
                      <w:rPr>
                        <w:rFonts w:hint="eastAsia" w:ascii="宋体" w:hAnsi="宋体" w:cs="宋体"/>
                        <w:sz w:val="28"/>
                        <w:szCs w:val="28"/>
                      </w:rPr>
                      <w:fldChar w:fldCharType="end"/>
                    </w:r>
                  </w:p>
                  <w:p w14:paraId="68654763"/>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95A"/>
    <w:rsid w:val="00003708"/>
    <w:rsid w:val="00036537"/>
    <w:rsid w:val="00080269"/>
    <w:rsid w:val="000959FC"/>
    <w:rsid w:val="00095A71"/>
    <w:rsid w:val="000B1C55"/>
    <w:rsid w:val="000C2908"/>
    <w:rsid w:val="000C2D2F"/>
    <w:rsid w:val="000D0155"/>
    <w:rsid w:val="000E5230"/>
    <w:rsid w:val="000E5B9A"/>
    <w:rsid w:val="000E640E"/>
    <w:rsid w:val="000F02CD"/>
    <w:rsid w:val="000F1EF7"/>
    <w:rsid w:val="001000CF"/>
    <w:rsid w:val="001023DA"/>
    <w:rsid w:val="00122C7E"/>
    <w:rsid w:val="001240B6"/>
    <w:rsid w:val="001241D6"/>
    <w:rsid w:val="001342E5"/>
    <w:rsid w:val="00155455"/>
    <w:rsid w:val="001605A3"/>
    <w:rsid w:val="001749C9"/>
    <w:rsid w:val="00191044"/>
    <w:rsid w:val="001A2255"/>
    <w:rsid w:val="001C4FF0"/>
    <w:rsid w:val="001E5C71"/>
    <w:rsid w:val="001F4357"/>
    <w:rsid w:val="00225FBE"/>
    <w:rsid w:val="00232232"/>
    <w:rsid w:val="00271925"/>
    <w:rsid w:val="0027498D"/>
    <w:rsid w:val="002A1895"/>
    <w:rsid w:val="002A7752"/>
    <w:rsid w:val="002B55AD"/>
    <w:rsid w:val="002C7984"/>
    <w:rsid w:val="002D495A"/>
    <w:rsid w:val="002D5360"/>
    <w:rsid w:val="002D5421"/>
    <w:rsid w:val="002E11FC"/>
    <w:rsid w:val="002F2BA0"/>
    <w:rsid w:val="002F2E35"/>
    <w:rsid w:val="002F4BBF"/>
    <w:rsid w:val="0030207A"/>
    <w:rsid w:val="00304317"/>
    <w:rsid w:val="00324B95"/>
    <w:rsid w:val="00335243"/>
    <w:rsid w:val="00335CF6"/>
    <w:rsid w:val="003543E2"/>
    <w:rsid w:val="00355235"/>
    <w:rsid w:val="003618CB"/>
    <w:rsid w:val="00363B58"/>
    <w:rsid w:val="00363E73"/>
    <w:rsid w:val="003650B7"/>
    <w:rsid w:val="00373E85"/>
    <w:rsid w:val="003A7B7F"/>
    <w:rsid w:val="003B1236"/>
    <w:rsid w:val="003C027D"/>
    <w:rsid w:val="003C2D63"/>
    <w:rsid w:val="003D2823"/>
    <w:rsid w:val="0040006E"/>
    <w:rsid w:val="00405E74"/>
    <w:rsid w:val="0041300E"/>
    <w:rsid w:val="00424599"/>
    <w:rsid w:val="00424827"/>
    <w:rsid w:val="00430699"/>
    <w:rsid w:val="00431E48"/>
    <w:rsid w:val="00433CBE"/>
    <w:rsid w:val="00433E57"/>
    <w:rsid w:val="00460169"/>
    <w:rsid w:val="00463562"/>
    <w:rsid w:val="00482F98"/>
    <w:rsid w:val="00496B4B"/>
    <w:rsid w:val="004A648A"/>
    <w:rsid w:val="004E7888"/>
    <w:rsid w:val="004F4CBD"/>
    <w:rsid w:val="005039CE"/>
    <w:rsid w:val="00511A13"/>
    <w:rsid w:val="00553AB5"/>
    <w:rsid w:val="00587609"/>
    <w:rsid w:val="0059566B"/>
    <w:rsid w:val="005D431C"/>
    <w:rsid w:val="005E415D"/>
    <w:rsid w:val="005F682D"/>
    <w:rsid w:val="00615181"/>
    <w:rsid w:val="006300A7"/>
    <w:rsid w:val="00632731"/>
    <w:rsid w:val="00644642"/>
    <w:rsid w:val="00655D5D"/>
    <w:rsid w:val="00664CFA"/>
    <w:rsid w:val="0067381B"/>
    <w:rsid w:val="00681E39"/>
    <w:rsid w:val="006A0A3B"/>
    <w:rsid w:val="006B2D1F"/>
    <w:rsid w:val="006E424B"/>
    <w:rsid w:val="007006CB"/>
    <w:rsid w:val="00701A05"/>
    <w:rsid w:val="0070314F"/>
    <w:rsid w:val="0070359F"/>
    <w:rsid w:val="0073719D"/>
    <w:rsid w:val="00737507"/>
    <w:rsid w:val="007440BD"/>
    <w:rsid w:val="00745B07"/>
    <w:rsid w:val="00750A5F"/>
    <w:rsid w:val="00760129"/>
    <w:rsid w:val="00764E0E"/>
    <w:rsid w:val="00771B00"/>
    <w:rsid w:val="007A3F49"/>
    <w:rsid w:val="007C3F02"/>
    <w:rsid w:val="00833442"/>
    <w:rsid w:val="00855137"/>
    <w:rsid w:val="00862230"/>
    <w:rsid w:val="00867DDF"/>
    <w:rsid w:val="008C4D62"/>
    <w:rsid w:val="008E103B"/>
    <w:rsid w:val="008E2821"/>
    <w:rsid w:val="008E51C8"/>
    <w:rsid w:val="008E5FBB"/>
    <w:rsid w:val="008E62F7"/>
    <w:rsid w:val="009008EC"/>
    <w:rsid w:val="0090784A"/>
    <w:rsid w:val="00917134"/>
    <w:rsid w:val="009244BA"/>
    <w:rsid w:val="009449ED"/>
    <w:rsid w:val="00971049"/>
    <w:rsid w:val="009849F5"/>
    <w:rsid w:val="009A152B"/>
    <w:rsid w:val="009A5C88"/>
    <w:rsid w:val="009A7D7D"/>
    <w:rsid w:val="009D17A3"/>
    <w:rsid w:val="009D2684"/>
    <w:rsid w:val="00A03867"/>
    <w:rsid w:val="00A1386F"/>
    <w:rsid w:val="00A252D5"/>
    <w:rsid w:val="00A274C7"/>
    <w:rsid w:val="00A33ECC"/>
    <w:rsid w:val="00A57C25"/>
    <w:rsid w:val="00A633AF"/>
    <w:rsid w:val="00A65E1C"/>
    <w:rsid w:val="00A678D4"/>
    <w:rsid w:val="00A67E32"/>
    <w:rsid w:val="00A97562"/>
    <w:rsid w:val="00AC170F"/>
    <w:rsid w:val="00AD2762"/>
    <w:rsid w:val="00AF22D5"/>
    <w:rsid w:val="00B0275B"/>
    <w:rsid w:val="00B240A2"/>
    <w:rsid w:val="00B272A4"/>
    <w:rsid w:val="00B42C5A"/>
    <w:rsid w:val="00B51B49"/>
    <w:rsid w:val="00B552F0"/>
    <w:rsid w:val="00B635BB"/>
    <w:rsid w:val="00B74063"/>
    <w:rsid w:val="00BB0B3C"/>
    <w:rsid w:val="00BE1749"/>
    <w:rsid w:val="00C01722"/>
    <w:rsid w:val="00C1503B"/>
    <w:rsid w:val="00C20356"/>
    <w:rsid w:val="00C257C6"/>
    <w:rsid w:val="00C32665"/>
    <w:rsid w:val="00C44DFC"/>
    <w:rsid w:val="00C53039"/>
    <w:rsid w:val="00C543B8"/>
    <w:rsid w:val="00C55FF8"/>
    <w:rsid w:val="00C57970"/>
    <w:rsid w:val="00C73ADE"/>
    <w:rsid w:val="00C75EAA"/>
    <w:rsid w:val="00C820B6"/>
    <w:rsid w:val="00C843BC"/>
    <w:rsid w:val="00CB39F1"/>
    <w:rsid w:val="00CB5904"/>
    <w:rsid w:val="00CC7207"/>
    <w:rsid w:val="00CD164C"/>
    <w:rsid w:val="00CD72C8"/>
    <w:rsid w:val="00CE1A19"/>
    <w:rsid w:val="00CE2CC4"/>
    <w:rsid w:val="00CF5837"/>
    <w:rsid w:val="00CF7CE1"/>
    <w:rsid w:val="00D26ED4"/>
    <w:rsid w:val="00D355DD"/>
    <w:rsid w:val="00D45130"/>
    <w:rsid w:val="00D62384"/>
    <w:rsid w:val="00D751DA"/>
    <w:rsid w:val="00D87781"/>
    <w:rsid w:val="00DD3ED9"/>
    <w:rsid w:val="00DD6041"/>
    <w:rsid w:val="00DE359E"/>
    <w:rsid w:val="00DF639F"/>
    <w:rsid w:val="00E05A72"/>
    <w:rsid w:val="00E05B17"/>
    <w:rsid w:val="00E14A76"/>
    <w:rsid w:val="00E30997"/>
    <w:rsid w:val="00E31DE2"/>
    <w:rsid w:val="00E32327"/>
    <w:rsid w:val="00E4298F"/>
    <w:rsid w:val="00E53BB5"/>
    <w:rsid w:val="00E67C35"/>
    <w:rsid w:val="00E720A6"/>
    <w:rsid w:val="00E872E7"/>
    <w:rsid w:val="00EE0600"/>
    <w:rsid w:val="00EF6A6C"/>
    <w:rsid w:val="00F22718"/>
    <w:rsid w:val="00F25AED"/>
    <w:rsid w:val="00F3258A"/>
    <w:rsid w:val="00F356EB"/>
    <w:rsid w:val="00F37536"/>
    <w:rsid w:val="00F44EAC"/>
    <w:rsid w:val="00F476D9"/>
    <w:rsid w:val="00F61182"/>
    <w:rsid w:val="00F95726"/>
    <w:rsid w:val="00F95AF7"/>
    <w:rsid w:val="00FB5165"/>
    <w:rsid w:val="00FE2312"/>
    <w:rsid w:val="00FF373A"/>
    <w:rsid w:val="0E3D04B1"/>
    <w:rsid w:val="191328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0"/>
    <w:pPr>
      <w:keepNext/>
      <w:jc w:val="center"/>
      <w:outlineLvl w:val="0"/>
    </w:pPr>
    <w:rPr>
      <w:rFonts w:ascii="仿宋_GB2312" w:hAnsi="Times New Roman" w:eastAsia="仿宋_GB2312" w:cs="Times New Roman"/>
      <w:kern w:val="0"/>
      <w:sz w:val="28"/>
      <w:szCs w:val="20"/>
    </w:rPr>
  </w:style>
  <w:style w:type="character" w:default="1" w:styleId="13">
    <w:name w:val="Default Paragraph Font"/>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8"/>
    <w:unhideWhenUsed/>
    <w:qFormat/>
    <w:uiPriority w:val="99"/>
    <w:pPr>
      <w:jc w:val="left"/>
    </w:pPr>
  </w:style>
  <w:style w:type="paragraph" w:styleId="4">
    <w:name w:val="Plain Text"/>
    <w:basedOn w:val="1"/>
    <w:link w:val="32"/>
    <w:qFormat/>
    <w:uiPriority w:val="0"/>
    <w:pPr>
      <w:spacing w:line="360" w:lineRule="auto"/>
      <w:ind w:firstLine="480" w:firstLineChars="200"/>
    </w:pPr>
    <w:rPr>
      <w:rFonts w:ascii="仿宋_GB2312" w:hAnsi="Times New Roman" w:eastAsia="宋体" w:cs="Times New Roman"/>
      <w:sz w:val="24"/>
      <w:szCs w:val="24"/>
    </w:rPr>
  </w:style>
  <w:style w:type="paragraph" w:styleId="5">
    <w:name w:val="Date"/>
    <w:basedOn w:val="1"/>
    <w:next w:val="1"/>
    <w:link w:val="20"/>
    <w:semiHidden/>
    <w:unhideWhenUsed/>
    <w:qFormat/>
    <w:uiPriority w:val="99"/>
    <w:pPr>
      <w:ind w:left="100" w:leftChars="2500"/>
    </w:pPr>
  </w:style>
  <w:style w:type="paragraph" w:styleId="6">
    <w:name w:val="Balloon Text"/>
    <w:basedOn w:val="1"/>
    <w:link w:val="25"/>
    <w:unhideWhenUsed/>
    <w:qFormat/>
    <w:uiPriority w:val="99"/>
    <w:rPr>
      <w:sz w:val="18"/>
      <w:szCs w:val="18"/>
    </w:rPr>
  </w:style>
  <w:style w:type="paragraph" w:styleId="7">
    <w:name w:val="footer"/>
    <w:basedOn w:val="1"/>
    <w:link w:val="19"/>
    <w:unhideWhenUsed/>
    <w:qFormat/>
    <w:uiPriority w:val="99"/>
    <w:pPr>
      <w:tabs>
        <w:tab w:val="center" w:pos="4153"/>
        <w:tab w:val="right" w:pos="8306"/>
      </w:tabs>
      <w:snapToGrid w:val="0"/>
      <w:jc w:val="left"/>
    </w:pPr>
    <w:rPr>
      <w:sz w:val="18"/>
      <w:szCs w:val="18"/>
    </w:rPr>
  </w:style>
  <w:style w:type="paragraph" w:styleId="8">
    <w:name w:val="header"/>
    <w:basedOn w:val="1"/>
    <w:link w:val="18"/>
    <w:unhideWhenUsed/>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10">
    <w:name w:val="annotation subject"/>
    <w:basedOn w:val="3"/>
    <w:next w:val="3"/>
    <w:link w:val="22"/>
    <w:unhideWhenUsed/>
    <w:qFormat/>
    <w:uiPriority w:val="99"/>
    <w:rPr>
      <w:b/>
      <w:bCs/>
      <w:szCs w:val="24"/>
    </w:rPr>
  </w:style>
  <w:style w:type="table" w:styleId="12">
    <w:name w:val="Table Grid"/>
    <w:basedOn w:val="11"/>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basedOn w:val="13"/>
    <w:qFormat/>
    <w:uiPriority w:val="0"/>
  </w:style>
  <w:style w:type="character" w:styleId="15">
    <w:name w:val="Hyperlink"/>
    <w:basedOn w:val="13"/>
    <w:unhideWhenUsed/>
    <w:qFormat/>
    <w:uiPriority w:val="99"/>
    <w:rPr>
      <w:color w:val="0000FF" w:themeColor="hyperlink"/>
      <w:u w:val="single"/>
      <w14:textFill>
        <w14:solidFill>
          <w14:schemeClr w14:val="hlink"/>
        </w14:solidFill>
      </w14:textFill>
    </w:rPr>
  </w:style>
  <w:style w:type="character" w:styleId="16">
    <w:name w:val="annotation reference"/>
    <w:unhideWhenUsed/>
    <w:qFormat/>
    <w:uiPriority w:val="99"/>
    <w:rPr>
      <w:sz w:val="21"/>
      <w:szCs w:val="21"/>
    </w:rPr>
  </w:style>
  <w:style w:type="character" w:customStyle="1" w:styleId="17">
    <w:name w:val="标题 1 字符"/>
    <w:link w:val="2"/>
    <w:qFormat/>
    <w:uiPriority w:val="0"/>
    <w:rPr>
      <w:rFonts w:ascii="仿宋_GB2312" w:hAnsi="Times New Roman" w:eastAsia="仿宋_GB2312" w:cs="Times New Roman"/>
      <w:kern w:val="0"/>
      <w:sz w:val="28"/>
      <w:szCs w:val="20"/>
    </w:rPr>
  </w:style>
  <w:style w:type="character" w:customStyle="1" w:styleId="18">
    <w:name w:val="页眉 字符1"/>
    <w:basedOn w:val="13"/>
    <w:link w:val="8"/>
    <w:qFormat/>
    <w:uiPriority w:val="99"/>
    <w:rPr>
      <w:sz w:val="18"/>
      <w:szCs w:val="18"/>
    </w:rPr>
  </w:style>
  <w:style w:type="character" w:customStyle="1" w:styleId="19">
    <w:name w:val="页脚 字符1"/>
    <w:basedOn w:val="13"/>
    <w:link w:val="7"/>
    <w:qFormat/>
    <w:uiPriority w:val="99"/>
    <w:rPr>
      <w:sz w:val="18"/>
      <w:szCs w:val="18"/>
    </w:rPr>
  </w:style>
  <w:style w:type="character" w:customStyle="1" w:styleId="20">
    <w:name w:val="日期 字符"/>
    <w:basedOn w:val="13"/>
    <w:link w:val="5"/>
    <w:qFormat/>
    <w:uiPriority w:val="0"/>
  </w:style>
  <w:style w:type="character" w:customStyle="1" w:styleId="21">
    <w:name w:val="标题 1 Char"/>
    <w:basedOn w:val="13"/>
    <w:qFormat/>
    <w:uiPriority w:val="9"/>
    <w:rPr>
      <w:b/>
      <w:bCs/>
      <w:kern w:val="44"/>
      <w:sz w:val="44"/>
      <w:szCs w:val="44"/>
    </w:rPr>
  </w:style>
  <w:style w:type="character" w:customStyle="1" w:styleId="22">
    <w:name w:val="批注主题 字符"/>
    <w:link w:val="10"/>
    <w:qFormat/>
    <w:uiPriority w:val="99"/>
    <w:rPr>
      <w:b/>
      <w:bCs/>
      <w:szCs w:val="24"/>
    </w:rPr>
  </w:style>
  <w:style w:type="character" w:customStyle="1" w:styleId="23">
    <w:name w:val="页眉 字符"/>
    <w:qFormat/>
    <w:uiPriority w:val="0"/>
    <w:rPr>
      <w:sz w:val="18"/>
      <w:szCs w:val="18"/>
    </w:rPr>
  </w:style>
  <w:style w:type="character" w:customStyle="1" w:styleId="24">
    <w:name w:val="页脚 字符"/>
    <w:qFormat/>
    <w:uiPriority w:val="99"/>
    <w:rPr>
      <w:sz w:val="18"/>
      <w:szCs w:val="18"/>
    </w:rPr>
  </w:style>
  <w:style w:type="character" w:customStyle="1" w:styleId="25">
    <w:name w:val="批注框文本 字符"/>
    <w:link w:val="6"/>
    <w:qFormat/>
    <w:uiPriority w:val="99"/>
    <w:rPr>
      <w:sz w:val="18"/>
      <w:szCs w:val="18"/>
    </w:rPr>
  </w:style>
  <w:style w:type="character" w:customStyle="1" w:styleId="26">
    <w:name w:val="批注文字 字符"/>
    <w:semiHidden/>
    <w:qFormat/>
    <w:uiPriority w:val="99"/>
    <w:rPr>
      <w:kern w:val="2"/>
      <w:sz w:val="21"/>
      <w:szCs w:val="24"/>
    </w:rPr>
  </w:style>
  <w:style w:type="character" w:customStyle="1" w:styleId="27">
    <w:name w:val="font11"/>
    <w:qFormat/>
    <w:uiPriority w:val="0"/>
    <w:rPr>
      <w:rFonts w:hint="eastAsia" w:ascii="宋体" w:hAnsi="宋体" w:eastAsia="宋体" w:cs="宋体"/>
      <w:b/>
      <w:color w:val="000000"/>
      <w:sz w:val="32"/>
      <w:szCs w:val="32"/>
      <w:u w:val="none"/>
    </w:rPr>
  </w:style>
  <w:style w:type="character" w:customStyle="1" w:styleId="28">
    <w:name w:val="批注文字 字符1"/>
    <w:basedOn w:val="13"/>
    <w:link w:val="3"/>
    <w:semiHidden/>
    <w:qFormat/>
    <w:uiPriority w:val="99"/>
  </w:style>
  <w:style w:type="character" w:customStyle="1" w:styleId="29">
    <w:name w:val="批注主题 Char"/>
    <w:basedOn w:val="28"/>
    <w:semiHidden/>
    <w:qFormat/>
    <w:uiPriority w:val="99"/>
    <w:rPr>
      <w:b/>
      <w:bCs/>
    </w:rPr>
  </w:style>
  <w:style w:type="character" w:customStyle="1" w:styleId="30">
    <w:name w:val="批注框文本 Char"/>
    <w:basedOn w:val="13"/>
    <w:semiHidden/>
    <w:qFormat/>
    <w:uiPriority w:val="99"/>
    <w:rPr>
      <w:sz w:val="18"/>
      <w:szCs w:val="18"/>
    </w:rPr>
  </w:style>
  <w:style w:type="paragraph" w:customStyle="1" w:styleId="31">
    <w:name w:val="日期1"/>
    <w:basedOn w:val="1"/>
    <w:next w:val="1"/>
    <w:qFormat/>
    <w:uiPriority w:val="0"/>
    <w:pPr>
      <w:ind w:left="100" w:leftChars="2500"/>
    </w:pPr>
    <w:rPr>
      <w:rFonts w:ascii="Times New Roman" w:hAnsi="Times New Roman" w:eastAsia="宋体" w:cs="Times New Roman"/>
      <w:szCs w:val="24"/>
    </w:rPr>
  </w:style>
  <w:style w:type="character" w:customStyle="1" w:styleId="32">
    <w:name w:val="纯文本 字符"/>
    <w:basedOn w:val="13"/>
    <w:link w:val="4"/>
    <w:qFormat/>
    <w:uiPriority w:val="0"/>
    <w:rPr>
      <w:rFonts w:ascii="仿宋_GB2312" w:hAnsi="Times New Roman" w:eastAsia="宋体" w:cs="Times New Roman"/>
      <w:sz w:val="24"/>
      <w:szCs w:val="24"/>
    </w:rPr>
  </w:style>
  <w:style w:type="paragraph" w:customStyle="1" w:styleId="33">
    <w:name w:val="Char"/>
    <w:basedOn w:val="1"/>
    <w:qFormat/>
    <w:uiPriority w:val="0"/>
    <w:pPr>
      <w:tabs>
        <w:tab w:val="left" w:pos="425"/>
      </w:tabs>
      <w:ind w:left="425" w:hanging="425"/>
    </w:pPr>
    <w:rPr>
      <w:rFonts w:ascii="Times New Roman" w:hAnsi="Times New Roman" w:eastAsia="宋体" w:cs="Times New Roman"/>
      <w:szCs w:val="24"/>
    </w:rPr>
  </w:style>
  <w:style w:type="paragraph" w:customStyle="1" w:styleId="34">
    <w:name w:val="列出段落1"/>
    <w:basedOn w:val="1"/>
    <w:qFormat/>
    <w:uiPriority w:val="0"/>
    <w:pPr>
      <w:ind w:firstLine="420" w:firstLineChars="200"/>
    </w:pPr>
    <w:rPr>
      <w:rFonts w:ascii="Calibri" w:hAnsi="Calibri" w:eastAsia="宋体" w:cs="Times New Roman"/>
    </w:rPr>
  </w:style>
  <w:style w:type="paragraph" w:styleId="35">
    <w:name w:val="List Paragraph"/>
    <w:basedOn w:val="1"/>
    <w:qFormat/>
    <w:uiPriority w:val="34"/>
    <w:pPr>
      <w:ind w:firstLine="420" w:firstLineChars="200"/>
    </w:pPr>
  </w:style>
  <w:style w:type="paragraph" w:customStyle="1" w:styleId="36">
    <w:name w:val="olistparagraph"/>
    <w:basedOn w:val="1"/>
    <w:qFormat/>
    <w:uiPriority w:val="0"/>
    <w:pPr>
      <w:spacing w:before="100" w:beforeAutospacing="1" w:after="100" w:afterAutospacing="1"/>
      <w:jc w:val="left"/>
    </w:pPr>
    <w:rPr>
      <w:rFonts w:ascii="Calibri" w:hAnsi="Calibri" w:eastAsia="宋体" w:cs="Times New Roman"/>
      <w:kern w:val="0"/>
      <w:sz w:val="24"/>
      <w:szCs w:val="24"/>
    </w:rPr>
  </w:style>
  <w:style w:type="paragraph" w:customStyle="1" w:styleId="37">
    <w:name w:val="onormal"/>
    <w:basedOn w:val="1"/>
    <w:qFormat/>
    <w:uiPriority w:val="0"/>
    <w:pPr>
      <w:spacing w:before="100" w:beforeAutospacing="1" w:after="100" w:afterAutospacing="1"/>
      <w:jc w:val="left"/>
    </w:pPr>
    <w:rPr>
      <w:rFonts w:ascii="Calibri" w:hAnsi="Calibri" w:eastAsia="宋体" w:cs="Times New Roman"/>
      <w:kern w:val="0"/>
      <w:sz w:val="24"/>
      <w:szCs w:val="24"/>
    </w:rPr>
  </w:style>
  <w:style w:type="character" w:customStyle="1" w:styleId="38">
    <w:name w:val="纯文本 Char1"/>
    <w:qFormat/>
    <w:locked/>
    <w:uiPriority w:val="0"/>
    <w:rPr>
      <w:rFonts w:hint="eastAsia" w:ascii="仿宋_GB2312" w:hAnsi="Calibri" w:eastAsia="仿宋_GB2312"/>
      <w:kern w:val="2"/>
      <w:sz w:val="24"/>
      <w:szCs w:val="24"/>
    </w:rPr>
  </w:style>
  <w:style w:type="paragraph" w:customStyle="1" w:styleId="39">
    <w:name w:val="sonormal"/>
    <w:basedOn w:val="1"/>
    <w:qFormat/>
    <w:uiPriority w:val="0"/>
    <w:pPr>
      <w:spacing w:before="100" w:beforeAutospacing="1" w:after="100" w:afterAutospacing="1"/>
      <w:jc w:val="left"/>
    </w:pPr>
    <w:rPr>
      <w:rFonts w:ascii="Calibri" w:hAnsi="Calibri" w:eastAsia="宋体" w:cs="Times New Roman"/>
      <w:kern w:val="0"/>
      <w:sz w:val="24"/>
      <w:szCs w:val="24"/>
    </w:rPr>
  </w:style>
  <w:style w:type="table" w:customStyle="1" w:styleId="4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hps</Company>
  <Pages>3</Pages>
  <Words>54</Words>
  <Characters>57</Characters>
  <Lines>46</Lines>
  <Paragraphs>25</Paragraphs>
  <TotalTime>0</TotalTime>
  <ScaleCrop>false</ScaleCrop>
  <LinksUpToDate>false</LinksUpToDate>
  <CharactersWithSpaces>57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2026-09-07T12:47:00Z</dcterms:created>
  <dc:creator>宋莎莎</dc:creator>
  <cp:lastModifiedBy>windows</cp:lastModifiedBy>
  <cp:lastPrinted>2023-02-16T02:21:00Z</cp:lastPrinted>
  <dcterms:modified xsi:type="dcterms:W3CDTF">2026-09-08T02:07:32Z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eyJoZGlkIjoiOTZmM2FhYjZiN2E5ZjYzOTIwZTk3Y2Y1MjFjODBjODIiLCJ1c2VySWQiOiI1NDQ0MDU0NjEifQ==</vt:lpwstr>
  </property>
  <property fmtid="{D5CDD505-2E9C-101B-9397-08002B2CF9AE}" pid="3" name="KSOProductBuildVer">
    <vt:lpwstr>2052-12.1.0.28505</vt:lpwstr>
  </property>
  <property fmtid="{D5CDD505-2E9C-101B-9397-08002B2CF9AE}" pid="4" name="ICV">
    <vt:lpwstr>23664BA20F674D5A8AEE23D17833721A_13</vt:lpwstr>
  </property>
</Properties>
</file>