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350F5" w14:textId="77777777" w:rsidR="00167C96" w:rsidRDefault="00000000">
      <w:pPr>
        <w:pStyle w:val="1"/>
        <w:rPr>
          <w:rFonts w:ascii="宋体" w:eastAsia="宋体" w:hAnsi="宋体" w:cs="宋体" w:hint="eastAsia"/>
          <w:b/>
          <w:bCs/>
          <w:sz w:val="36"/>
          <w:szCs w:val="36"/>
        </w:rPr>
      </w:pPr>
      <w:r>
        <w:rPr>
          <w:rFonts w:ascii="Times New Roman" w:eastAsia="宋体" w:hint="eastAsia"/>
          <w:b/>
          <w:bCs/>
          <w:sz w:val="36"/>
          <w:szCs w:val="36"/>
        </w:rPr>
        <w:t>2026</w:t>
      </w:r>
      <w:r>
        <w:rPr>
          <w:rFonts w:ascii="Times New Roman" w:eastAsia="宋体" w:hint="eastAsia"/>
          <w:b/>
          <w:bCs/>
          <w:sz w:val="36"/>
          <w:szCs w:val="36"/>
        </w:rPr>
        <w:t>年自然资源科学技术奖</w:t>
      </w:r>
      <w:r>
        <w:rPr>
          <w:rFonts w:ascii="宋体" w:eastAsia="宋体" w:hAnsi="宋体" w:cs="宋体" w:hint="eastAsia"/>
          <w:b/>
          <w:bCs/>
          <w:sz w:val="36"/>
          <w:szCs w:val="36"/>
        </w:rPr>
        <w:t>公示表</w:t>
      </w:r>
    </w:p>
    <w:p w14:paraId="6055B0F3" w14:textId="77777777" w:rsidR="00167C96" w:rsidRDefault="00000000">
      <w:pPr>
        <w:jc w:val="center"/>
        <w:rPr>
          <w:rFonts w:eastAsia="宋体"/>
          <w:sz w:val="36"/>
          <w:szCs w:val="36"/>
        </w:rPr>
      </w:pPr>
      <w:r>
        <w:rPr>
          <w:rFonts w:ascii="宋体" w:eastAsia="宋体" w:hAnsi="宋体" w:cs="宋体" w:hint="eastAsia"/>
          <w:b/>
          <w:bCs/>
          <w:sz w:val="36"/>
          <w:szCs w:val="36"/>
        </w:rPr>
        <w:t>（科技进步奖）</w:t>
      </w:r>
    </w:p>
    <w:p w14:paraId="52725456" w14:textId="77777777" w:rsidR="00167C96" w:rsidRDefault="00167C96"/>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962"/>
        <w:gridCol w:w="1962"/>
        <w:gridCol w:w="1962"/>
        <w:gridCol w:w="1963"/>
      </w:tblGrid>
      <w:tr w:rsidR="00167C96" w14:paraId="12086761" w14:textId="77777777">
        <w:trPr>
          <w:trHeight w:val="553"/>
          <w:jc w:val="center"/>
        </w:trPr>
        <w:tc>
          <w:tcPr>
            <w:tcW w:w="1615" w:type="dxa"/>
            <w:vAlign w:val="center"/>
          </w:tcPr>
          <w:p w14:paraId="071A3CF7" w14:textId="77777777" w:rsidR="00167C96" w:rsidRDefault="00000000">
            <w:pPr>
              <w:adjustRightInd w:val="0"/>
              <w:snapToGrid w:val="0"/>
              <w:jc w:val="center"/>
              <w:rPr>
                <w:rFonts w:ascii="仿宋" w:eastAsia="仿宋" w:hAnsi="仿宋" w:hint="eastAsia"/>
                <w:b/>
                <w:bCs/>
              </w:rPr>
            </w:pPr>
            <w:r>
              <w:rPr>
                <w:rFonts w:ascii="仿宋" w:eastAsia="仿宋" w:hAnsi="仿宋" w:hint="eastAsia"/>
                <w:b/>
                <w:bCs/>
              </w:rPr>
              <w:t>项目名称</w:t>
            </w:r>
          </w:p>
        </w:tc>
        <w:tc>
          <w:tcPr>
            <w:tcW w:w="7849" w:type="dxa"/>
            <w:gridSpan w:val="4"/>
            <w:vAlign w:val="bottom"/>
          </w:tcPr>
          <w:p w14:paraId="14A17B6B" w14:textId="7BFE6E2F" w:rsidR="00167C96" w:rsidRDefault="00163FD1">
            <w:pPr>
              <w:spacing w:line="360" w:lineRule="auto"/>
              <w:jc w:val="center"/>
              <w:rPr>
                <w:rFonts w:ascii="仿宋" w:eastAsia="仿宋" w:hAnsi="仿宋" w:hint="eastAsia"/>
                <w:bCs/>
              </w:rPr>
            </w:pPr>
            <w:r w:rsidRPr="00163FD1">
              <w:rPr>
                <w:rFonts w:ascii="仿宋" w:eastAsia="仿宋" w:hAnsi="仿宋" w:hint="eastAsia"/>
                <w:bCs/>
              </w:rPr>
              <w:t>海洋油气柔性复合管输送系统关键技术及工程应用</w:t>
            </w:r>
          </w:p>
        </w:tc>
      </w:tr>
      <w:tr w:rsidR="00167C96" w14:paraId="3BC34198" w14:textId="77777777">
        <w:trPr>
          <w:trHeight w:val="419"/>
          <w:jc w:val="center"/>
        </w:trPr>
        <w:tc>
          <w:tcPr>
            <w:tcW w:w="1615" w:type="dxa"/>
            <w:vAlign w:val="center"/>
          </w:tcPr>
          <w:p w14:paraId="6772ADDB" w14:textId="77777777" w:rsidR="00167C96" w:rsidRDefault="00000000">
            <w:pPr>
              <w:adjustRightInd w:val="0"/>
              <w:snapToGrid w:val="0"/>
              <w:jc w:val="center"/>
              <w:rPr>
                <w:rFonts w:ascii="仿宋" w:eastAsia="仿宋" w:hAnsi="仿宋" w:hint="eastAsia"/>
                <w:b/>
                <w:bCs/>
              </w:rPr>
            </w:pPr>
            <w:r>
              <w:rPr>
                <w:rFonts w:ascii="仿宋" w:eastAsia="仿宋" w:hAnsi="仿宋" w:hint="eastAsia"/>
                <w:b/>
                <w:bCs/>
              </w:rPr>
              <w:t>申报奖项</w:t>
            </w:r>
          </w:p>
        </w:tc>
        <w:tc>
          <w:tcPr>
            <w:tcW w:w="7849" w:type="dxa"/>
            <w:gridSpan w:val="4"/>
            <w:vAlign w:val="center"/>
          </w:tcPr>
          <w:p w14:paraId="35849E8C" w14:textId="77BC9018" w:rsidR="00167C96" w:rsidRDefault="006B0480">
            <w:pPr>
              <w:spacing w:line="240" w:lineRule="exact"/>
              <w:ind w:right="-20" w:firstLineChars="200" w:firstLine="420"/>
              <w:jc w:val="center"/>
              <w:rPr>
                <w:rFonts w:ascii="仿宋" w:eastAsia="仿宋" w:hAnsi="仿宋" w:hint="eastAsia"/>
                <w:bCs/>
              </w:rPr>
            </w:pPr>
            <w:r w:rsidRPr="006B0480">
              <w:rPr>
                <w:rFonts w:ascii="仿宋" w:eastAsia="仿宋" w:hAnsi="仿宋" w:hint="eastAsia"/>
                <w:bCs/>
              </w:rPr>
              <w:t>自然资源</w:t>
            </w:r>
            <w:r w:rsidR="003B18BF">
              <w:rPr>
                <w:rFonts w:ascii="仿宋" w:eastAsia="仿宋" w:hAnsi="仿宋" w:hint="eastAsia"/>
                <w:bCs/>
              </w:rPr>
              <w:t>科技</w:t>
            </w:r>
            <w:r w:rsidR="000024EC">
              <w:rPr>
                <w:rFonts w:ascii="仿宋" w:eastAsia="仿宋" w:hAnsi="仿宋" w:hint="eastAsia"/>
                <w:bCs/>
              </w:rPr>
              <w:t>进步</w:t>
            </w:r>
            <w:r w:rsidRPr="006B0480">
              <w:rPr>
                <w:rFonts w:ascii="仿宋" w:eastAsia="仿宋" w:hAnsi="仿宋" w:hint="eastAsia"/>
                <w:bCs/>
              </w:rPr>
              <w:t>奖</w:t>
            </w:r>
          </w:p>
        </w:tc>
      </w:tr>
      <w:tr w:rsidR="00167C96" w14:paraId="7BCF0BBF" w14:textId="77777777" w:rsidTr="000B64D1">
        <w:trPr>
          <w:trHeight w:val="397"/>
          <w:jc w:val="center"/>
        </w:trPr>
        <w:tc>
          <w:tcPr>
            <w:tcW w:w="1615" w:type="dxa"/>
            <w:vAlign w:val="center"/>
          </w:tcPr>
          <w:p w14:paraId="4CB82ACD" w14:textId="77777777" w:rsidR="00167C96" w:rsidRDefault="00000000">
            <w:pPr>
              <w:snapToGrid w:val="0"/>
              <w:jc w:val="center"/>
              <w:rPr>
                <w:rFonts w:ascii="仿宋" w:eastAsia="仿宋" w:hAnsi="仿宋" w:hint="eastAsia"/>
              </w:rPr>
            </w:pPr>
            <w:r>
              <w:rPr>
                <w:rFonts w:ascii="仿宋" w:eastAsia="仿宋" w:hAnsi="仿宋" w:hint="eastAsia"/>
                <w:b/>
                <w:bCs/>
              </w:rPr>
              <w:t>主要完成单位</w:t>
            </w:r>
          </w:p>
        </w:tc>
        <w:tc>
          <w:tcPr>
            <w:tcW w:w="7849" w:type="dxa"/>
            <w:gridSpan w:val="4"/>
            <w:vAlign w:val="center"/>
          </w:tcPr>
          <w:p w14:paraId="504ED85B" w14:textId="48C35608" w:rsidR="00167C96" w:rsidRPr="000B64D1" w:rsidRDefault="00163FD1" w:rsidP="000B64D1">
            <w:pPr>
              <w:spacing w:line="360" w:lineRule="auto"/>
              <w:jc w:val="center"/>
              <w:rPr>
                <w:rFonts w:ascii="仿宋" w:eastAsia="仿宋" w:hAnsi="仿宋" w:hint="eastAsia"/>
                <w:bCs/>
              </w:rPr>
            </w:pPr>
            <w:r w:rsidRPr="000B64D1">
              <w:rPr>
                <w:rFonts w:ascii="仿宋" w:eastAsia="仿宋" w:hAnsi="仿宋" w:hint="eastAsia"/>
                <w:bCs/>
              </w:rPr>
              <w:t>海南热带海洋学院、江苏正道海洋科技股份有限公司</w:t>
            </w:r>
          </w:p>
        </w:tc>
      </w:tr>
      <w:tr w:rsidR="00167C96" w14:paraId="000C21D0" w14:textId="77777777">
        <w:trPr>
          <w:trHeight w:val="397"/>
          <w:jc w:val="center"/>
        </w:trPr>
        <w:tc>
          <w:tcPr>
            <w:tcW w:w="1615" w:type="dxa"/>
            <w:vAlign w:val="center"/>
          </w:tcPr>
          <w:p w14:paraId="5102A5C8" w14:textId="77777777" w:rsidR="00167C96" w:rsidRDefault="00000000">
            <w:pPr>
              <w:snapToGrid w:val="0"/>
              <w:jc w:val="center"/>
              <w:rPr>
                <w:rFonts w:ascii="仿宋" w:eastAsia="仿宋" w:hAnsi="仿宋" w:hint="eastAsia"/>
                <w:b/>
                <w:bCs/>
              </w:rPr>
            </w:pPr>
            <w:r>
              <w:rPr>
                <w:rFonts w:ascii="仿宋" w:eastAsia="仿宋" w:hAnsi="仿宋" w:hint="eastAsia"/>
                <w:b/>
                <w:bCs/>
              </w:rPr>
              <w:t>主要完成人</w:t>
            </w:r>
          </w:p>
        </w:tc>
        <w:tc>
          <w:tcPr>
            <w:tcW w:w="7849" w:type="dxa"/>
            <w:gridSpan w:val="4"/>
            <w:vAlign w:val="center"/>
          </w:tcPr>
          <w:p w14:paraId="6D9ECC2F" w14:textId="3BB72F31" w:rsidR="00167C96" w:rsidRDefault="00163FD1" w:rsidP="00774BC1">
            <w:pPr>
              <w:snapToGrid w:val="0"/>
              <w:spacing w:line="360" w:lineRule="auto"/>
              <w:rPr>
                <w:rFonts w:ascii="仿宋" w:eastAsia="仿宋" w:hAnsi="仿宋" w:hint="eastAsia"/>
                <w:bCs/>
              </w:rPr>
            </w:pPr>
            <w:r w:rsidRPr="00163FD1">
              <w:rPr>
                <w:rFonts w:ascii="仿宋" w:eastAsia="仿宋" w:hAnsi="仿宋" w:hint="eastAsia"/>
                <w:bCs/>
              </w:rPr>
              <w:t>李占东、李吉、赵绍东、张馨文、陈江华、孟琳、顾岳、韩博、李阳、张少君、朱佳文、蒋鉴航、梁毅鹏、王明雨、张键飞</w:t>
            </w:r>
          </w:p>
        </w:tc>
      </w:tr>
      <w:tr w:rsidR="00167C96" w14:paraId="74687AC0" w14:textId="77777777">
        <w:trPr>
          <w:trHeight w:val="2655"/>
          <w:jc w:val="center"/>
        </w:trPr>
        <w:tc>
          <w:tcPr>
            <w:tcW w:w="1615" w:type="dxa"/>
            <w:vAlign w:val="center"/>
          </w:tcPr>
          <w:p w14:paraId="6C79CA0E" w14:textId="77777777" w:rsidR="00167C96" w:rsidRDefault="00000000">
            <w:pPr>
              <w:snapToGrid w:val="0"/>
              <w:jc w:val="center"/>
              <w:rPr>
                <w:rFonts w:ascii="仿宋" w:eastAsia="仿宋" w:hAnsi="仿宋" w:hint="eastAsia"/>
                <w:b/>
                <w:bCs/>
              </w:rPr>
            </w:pPr>
            <w:r>
              <w:rPr>
                <w:rFonts w:ascii="仿宋" w:eastAsia="仿宋" w:hAnsi="仿宋"/>
                <w:b/>
                <w:bCs/>
              </w:rPr>
              <w:t>推荐意见</w:t>
            </w:r>
          </w:p>
        </w:tc>
        <w:tc>
          <w:tcPr>
            <w:tcW w:w="7849" w:type="dxa"/>
            <w:gridSpan w:val="4"/>
            <w:vAlign w:val="center"/>
          </w:tcPr>
          <w:p w14:paraId="1B964D06" w14:textId="77777777" w:rsidR="00BB68F5" w:rsidRPr="00BB68F5" w:rsidRDefault="00BB68F5" w:rsidP="00BB68F5">
            <w:pPr>
              <w:spacing w:line="400" w:lineRule="exact"/>
              <w:ind w:firstLineChars="200" w:firstLine="420"/>
              <w:rPr>
                <w:rFonts w:ascii="仿宋" w:eastAsia="仿宋" w:hAnsi="仿宋"/>
                <w:szCs w:val="21"/>
              </w:rPr>
            </w:pPr>
            <w:r w:rsidRPr="00BB68F5">
              <w:rPr>
                <w:rFonts w:ascii="仿宋" w:eastAsia="仿宋" w:hAnsi="仿宋"/>
                <w:szCs w:val="21"/>
              </w:rPr>
              <w:t>我国海洋油气开发向高温高压、高含硫及远海深水推进，传统金属管道腐蚀风险高、铺设维护成本高，深海柔性管产业面临“有技术缺装备”难题。项目形成柔性复合管关键技术与产业化体系，支撑海洋油气开发及海上制氢产业发展。</w:t>
            </w:r>
          </w:p>
          <w:p w14:paraId="7015AC94" w14:textId="77777777" w:rsidR="00BB68F5" w:rsidRPr="00BB68F5" w:rsidRDefault="00BB68F5" w:rsidP="00BB68F5">
            <w:pPr>
              <w:spacing w:line="400" w:lineRule="exact"/>
              <w:ind w:firstLineChars="200" w:firstLine="420"/>
              <w:rPr>
                <w:rFonts w:ascii="仿宋" w:eastAsia="仿宋" w:hAnsi="仿宋"/>
                <w:szCs w:val="21"/>
              </w:rPr>
            </w:pPr>
            <w:r w:rsidRPr="00BB68F5">
              <w:rPr>
                <w:rFonts w:ascii="仿宋" w:eastAsia="仿宋" w:hAnsi="仿宋"/>
                <w:szCs w:val="21"/>
              </w:rPr>
              <w:t>1.创立长距离输气管道流动调控技术，流动参数预测误差≤10%，温压异常区识别精度≥90%；揭示记忆效应下水合物二次生成规律，冰堵位置预测误差≤5%、识别准确率≥90%，实现流动风险向管材设计依据转化，相关技术应用于陵水17-2气田11口井。</w:t>
            </w:r>
          </w:p>
          <w:p w14:paraId="0A8A9BF6" w14:textId="70A24446" w:rsidR="00BB68F5" w:rsidRPr="00BB68F5" w:rsidRDefault="00BB68F5" w:rsidP="00BB68F5">
            <w:pPr>
              <w:spacing w:line="400" w:lineRule="exact"/>
              <w:ind w:firstLineChars="200" w:firstLine="420"/>
              <w:rPr>
                <w:rFonts w:ascii="仿宋" w:eastAsia="仿宋" w:hAnsi="仿宋"/>
                <w:szCs w:val="21"/>
              </w:rPr>
            </w:pPr>
            <w:r w:rsidRPr="00BB68F5">
              <w:rPr>
                <w:rFonts w:ascii="仿宋" w:eastAsia="仿宋" w:hAnsi="仿宋"/>
                <w:szCs w:val="21"/>
              </w:rPr>
              <w:t>2.研发聚合物晶型调控阻气衬管一体化成型技术，兼顾高阻气与高柔顺性能，阻气性能提升2个数量级，拉伸强度保持率≥95%，复合薄膜气体透过量降幅超90%，气体渗透系数较传统HDPE降低4个数量级</w:t>
            </w:r>
            <w:r w:rsidR="002E5392">
              <w:rPr>
                <w:rFonts w:ascii="仿宋" w:eastAsia="仿宋" w:hAnsi="仿宋" w:hint="eastAsia"/>
                <w:szCs w:val="21"/>
              </w:rPr>
              <w:t>，</w:t>
            </w:r>
            <w:r w:rsidR="002E5392" w:rsidRPr="002E5392">
              <w:rPr>
                <w:rFonts w:ascii="仿宋" w:eastAsia="仿宋" w:hAnsi="仿宋" w:hint="eastAsia"/>
                <w:szCs w:val="21"/>
              </w:rPr>
              <w:t>有效满足高酸天然气、氢气安全输送的材料需求。</w:t>
            </w:r>
          </w:p>
          <w:p w14:paraId="028DD8F4" w14:textId="35F0E389" w:rsidR="00BB68F5" w:rsidRPr="00BB68F5" w:rsidRDefault="00BB68F5" w:rsidP="00BB68F5">
            <w:pPr>
              <w:spacing w:line="400" w:lineRule="exact"/>
              <w:ind w:firstLineChars="200" w:firstLine="420"/>
              <w:rPr>
                <w:rFonts w:ascii="仿宋" w:eastAsia="仿宋" w:hAnsi="仿宋" w:hint="eastAsia"/>
                <w:szCs w:val="21"/>
              </w:rPr>
            </w:pPr>
            <w:r w:rsidRPr="00BB68F5">
              <w:rPr>
                <w:rFonts w:ascii="仿宋" w:eastAsia="仿宋" w:hAnsi="仿宋"/>
                <w:szCs w:val="21"/>
              </w:rPr>
              <w:t>3.创新纤维/金属混杂增强协同承载结构设计方法，建立界面黏聚力本构模型与多载荷耦合失效准则，界面应力预测误差≤8%，管材环刚度提升40%以上，结构缺陷率＜0.5%</w:t>
            </w:r>
            <w:r w:rsidR="002E5392">
              <w:rPr>
                <w:rFonts w:ascii="仿宋" w:eastAsia="仿宋" w:hAnsi="仿宋" w:hint="eastAsia"/>
                <w:szCs w:val="21"/>
              </w:rPr>
              <w:t>，</w:t>
            </w:r>
            <w:r w:rsidR="002E5392" w:rsidRPr="002E5392">
              <w:rPr>
                <w:rFonts w:ascii="仿宋" w:eastAsia="仿宋" w:hAnsi="仿宋" w:hint="eastAsia"/>
                <w:szCs w:val="21"/>
              </w:rPr>
              <w:t>保障高压交变载荷下管材结构完整稳定。</w:t>
            </w:r>
          </w:p>
          <w:p w14:paraId="16C8BF0B" w14:textId="77777777" w:rsidR="00BB68F5" w:rsidRPr="00BB68F5" w:rsidRDefault="00BB68F5" w:rsidP="00BB68F5">
            <w:pPr>
              <w:spacing w:line="400" w:lineRule="exact"/>
              <w:ind w:firstLineChars="200" w:firstLine="420"/>
              <w:rPr>
                <w:rFonts w:ascii="仿宋" w:eastAsia="仿宋" w:hAnsi="仿宋"/>
                <w:szCs w:val="21"/>
              </w:rPr>
            </w:pPr>
            <w:r w:rsidRPr="00BB68F5">
              <w:rPr>
                <w:rFonts w:ascii="仿宋" w:eastAsia="仿宋" w:hAnsi="仿宋"/>
                <w:szCs w:val="21"/>
              </w:rPr>
              <w:t>4.研发系列柔性复合管及配套工具，建立全流程质控体系，高阻隔管爆破压力达88.6MPa，耐高温管维卡软化温度131.5℃，保温管长期服役温度95℃；全通径接头最大内扩量由8mm增至15mm，通球成功率100%。</w:t>
            </w:r>
          </w:p>
          <w:p w14:paraId="2E55B788" w14:textId="4385A3AE" w:rsidR="00BB68F5" w:rsidRPr="00BB68F5" w:rsidRDefault="003B18BF" w:rsidP="00BB68F5">
            <w:pPr>
              <w:spacing w:line="400" w:lineRule="exact"/>
              <w:ind w:firstLineChars="200" w:firstLine="420"/>
              <w:rPr>
                <w:rFonts w:ascii="仿宋" w:eastAsia="仿宋" w:hAnsi="仿宋"/>
                <w:szCs w:val="21"/>
              </w:rPr>
            </w:pPr>
            <w:r w:rsidRPr="003B18BF">
              <w:rPr>
                <w:rFonts w:ascii="仿宋" w:eastAsia="仿宋" w:hAnsi="仿宋" w:hint="eastAsia"/>
                <w:szCs w:val="21"/>
              </w:rPr>
              <w:t>成果推广后集输能耗降低30%以上</w:t>
            </w:r>
            <w:r>
              <w:rPr>
                <w:rFonts w:ascii="仿宋" w:eastAsia="仿宋" w:hAnsi="仿宋" w:hint="eastAsia"/>
                <w:szCs w:val="21"/>
              </w:rPr>
              <w:t>。</w:t>
            </w:r>
            <w:r w:rsidR="00BB68F5" w:rsidRPr="00BB68F5">
              <w:rPr>
                <w:rFonts w:ascii="仿宋" w:eastAsia="仿宋" w:hAnsi="仿宋"/>
                <w:szCs w:val="21"/>
              </w:rPr>
              <w:t>项目整体技术达国际先进水平，授权发明专利16项、其他知识产权22项，主导参与国家、行业标准各1项，发表论文50余篇。</w:t>
            </w:r>
          </w:p>
          <w:p w14:paraId="296E9F2B" w14:textId="5B16A72D" w:rsidR="00BB68F5" w:rsidRPr="00BB68F5" w:rsidRDefault="00BB68F5" w:rsidP="00BB68F5">
            <w:pPr>
              <w:spacing w:line="400" w:lineRule="exact"/>
              <w:ind w:firstLineChars="200" w:firstLine="420"/>
              <w:rPr>
                <w:rFonts w:ascii="仿宋" w:eastAsia="仿宋" w:hAnsi="仿宋"/>
                <w:szCs w:val="21"/>
              </w:rPr>
            </w:pPr>
            <w:r w:rsidRPr="00BB68F5">
              <w:rPr>
                <w:rFonts w:ascii="仿宋" w:eastAsia="仿宋" w:hAnsi="仿宋"/>
                <w:szCs w:val="21"/>
              </w:rPr>
              <w:t>推荐该项目为自然资源</w:t>
            </w:r>
            <w:r w:rsidR="00D245FE">
              <w:rPr>
                <w:rFonts w:ascii="仿宋" w:eastAsia="仿宋" w:hAnsi="仿宋" w:hint="eastAsia"/>
                <w:szCs w:val="21"/>
              </w:rPr>
              <w:t>科技进步</w:t>
            </w:r>
            <w:r w:rsidRPr="00BB68F5">
              <w:rPr>
                <w:rFonts w:ascii="仿宋" w:eastAsia="仿宋" w:hAnsi="仿宋"/>
                <w:szCs w:val="21"/>
              </w:rPr>
              <w:t>奖一等奖或二等奖。</w:t>
            </w:r>
          </w:p>
          <w:p w14:paraId="17495C59" w14:textId="09A16334" w:rsidR="00BB68F5" w:rsidRPr="00BB68F5" w:rsidRDefault="00BB68F5" w:rsidP="00E81ABA">
            <w:pPr>
              <w:spacing w:line="400" w:lineRule="exact"/>
              <w:ind w:firstLineChars="200" w:firstLine="420"/>
              <w:rPr>
                <w:rFonts w:ascii="仿宋" w:eastAsia="仿宋" w:hAnsi="仿宋" w:hint="eastAsia"/>
                <w:szCs w:val="21"/>
              </w:rPr>
            </w:pPr>
          </w:p>
        </w:tc>
      </w:tr>
      <w:tr w:rsidR="00167C96" w14:paraId="5F8AEE06" w14:textId="77777777">
        <w:trPr>
          <w:trHeight w:val="6936"/>
          <w:jc w:val="center"/>
        </w:trPr>
        <w:tc>
          <w:tcPr>
            <w:tcW w:w="1615" w:type="dxa"/>
            <w:vAlign w:val="center"/>
          </w:tcPr>
          <w:p w14:paraId="673A0F55" w14:textId="77777777" w:rsidR="00167C96" w:rsidRDefault="00000000">
            <w:pPr>
              <w:snapToGrid w:val="0"/>
              <w:jc w:val="center"/>
              <w:rPr>
                <w:rFonts w:ascii="仿宋" w:eastAsia="仿宋" w:hAnsi="仿宋" w:hint="eastAsia"/>
                <w:b/>
                <w:bCs/>
              </w:rPr>
            </w:pPr>
            <w:r>
              <w:rPr>
                <w:rFonts w:ascii="仿宋" w:eastAsia="仿宋" w:hAnsi="仿宋"/>
                <w:b/>
                <w:bCs/>
              </w:rPr>
              <w:lastRenderedPageBreak/>
              <w:t>成果简介</w:t>
            </w:r>
          </w:p>
        </w:tc>
        <w:tc>
          <w:tcPr>
            <w:tcW w:w="7849" w:type="dxa"/>
            <w:gridSpan w:val="4"/>
            <w:vAlign w:val="center"/>
          </w:tcPr>
          <w:p w14:paraId="1DE1EC0A"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我国海洋油气资源开发正向高温高压、高含硫和长距离输送等领域加速推进，对石油、天然气等资源安全高效输送提出了迫切需求。传统金属管易发生腐蚀失效，在海上铺设和维护成本高，国内深海动态柔性管道制造领域又长期处于“有技术缺装备”的被动局面。亟需突破关键材料与核心制造技术，实现海上油气田柔性复合管自主可控与规模制造，为海洋油气资源高效开发和海上制氢等新能源产业发展提供装备支撑。</w:t>
            </w:r>
          </w:p>
          <w:p w14:paraId="7F2904E9"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1、创立了长距离输气管道流动调控关键技术。构建了长距离输气管道全过程多相流预测方法，实现了长距离管道全过程流动状态精准表征，流动参数预测误差≤10%；形成了温压异常区定量识别技术，识别精度≥90%；揭示了记忆效应下水合物二次生成规律，建立了冰堵风险预测与分级防控方法，冰堵位置预测误差≤5%，识别准确率≥90%。实现了流动风险向管材设计边界的转化，相关成果已推广应用于陵水17-2气田11口井设计及现场作业。</w:t>
            </w:r>
          </w:p>
          <w:p w14:paraId="63AE5135" w14:textId="18EA3E9D"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2、开发了基于聚合物晶型调控的阻气衬管一体化成型技术。揭示了工艺参数、晶型结构与阻气性能的内在关系，实现了管材高阻气与高柔顺协同，形成了双轴取向多晶型阻气成型工艺。薄膜阻气性能提升2个数量级，拉伸强度保持率≥95%；建立了阻气功能层与承压层梯度复合一体化成型技术，复合薄膜气体透过量降低90%以上；阻气层气体渗透系数较传统HDPE降低4个数量级。为高酸天然气及氢气长距离安全输送提供了关键材料支撑。</w:t>
            </w:r>
          </w:p>
          <w:p w14:paraId="316E541E" w14:textId="6D70BEB6"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3、创新了纤维/金属混杂增强多材料协同承载结构设计方法。揭示了纤维与金属协同承载的界面传力机制。建立了界面黏聚力本构模型和多载荷耦合失效准则，界面应力预测误差≤8%；形成了缠绕参数与承载能力定量映射及精细控制技术，管材环刚度提升40%以上；建立了混杂增强界面缺陷控制与可靠成型方法，结构缺陷率＜0.5%，为高压交变载荷下柔性复合管结构完整性提供了关键技术支撑。</w:t>
            </w:r>
          </w:p>
          <w:p w14:paraId="709DD205"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4、研发了海洋油气集输柔性复合管系列产品及配套工具。形成了阻气衬管和混杂增强以及全流程质量控制技术，研发了高阻隔、耐高温经济型和耐高温隔热保温等柔性复合管产品；高阻隔管爆破压力88.6MPa，耐高温管内衬层维卡软化温度131.5℃，保温管长期服役温度95℃；开发了全通径扣压接头及系列施工运维工具，接头最大内扩量由8 mm</w:t>
            </w:r>
            <w:r w:rsidRPr="00EC29C8">
              <w:rPr>
                <w:rFonts w:ascii="Calibri" w:eastAsia="仿宋" w:hAnsi="Calibri" w:cs="Calibri"/>
              </w:rPr>
              <w:t> </w:t>
            </w:r>
            <w:r w:rsidRPr="00EC29C8">
              <w:rPr>
                <w:rFonts w:ascii="仿宋" w:eastAsia="仿宋" w:hAnsi="仿宋" w:hint="eastAsia"/>
              </w:rPr>
              <w:t>提高至15 mm，通球作业一次成功率100%；建成年产500万米智能制造基地和CNAS认证检测体系，产品一次合格率≥98%。</w:t>
            </w:r>
          </w:p>
          <w:p w14:paraId="396B2C30" w14:textId="2C15A395" w:rsidR="00167C96" w:rsidRPr="00421462" w:rsidRDefault="00EC29C8" w:rsidP="00421462">
            <w:pPr>
              <w:spacing w:line="400" w:lineRule="exact"/>
              <w:ind w:firstLineChars="200" w:firstLine="420"/>
              <w:rPr>
                <w:rFonts w:ascii="仿宋" w:eastAsia="仿宋" w:hAnsi="仿宋" w:hint="eastAsia"/>
              </w:rPr>
            </w:pPr>
            <w:r w:rsidRPr="00EC29C8">
              <w:rPr>
                <w:rFonts w:ascii="仿宋" w:eastAsia="仿宋" w:hAnsi="仿宋" w:hint="eastAsia"/>
              </w:rPr>
              <w:t>成果已在国内外油气田集输多场景推广应用，使油田集输能耗降低30%以上。成果整体技术鉴定达到国际先进水平，成果授权发明专利16件、其他知识产权22件，参与制定国家标准1项、行业标准1项，发表论文50余篇。</w:t>
            </w:r>
          </w:p>
        </w:tc>
      </w:tr>
      <w:tr w:rsidR="00167C96" w14:paraId="4DA343A7" w14:textId="77777777">
        <w:trPr>
          <w:trHeight w:val="2399"/>
          <w:jc w:val="center"/>
        </w:trPr>
        <w:tc>
          <w:tcPr>
            <w:tcW w:w="1615" w:type="dxa"/>
            <w:vAlign w:val="center"/>
          </w:tcPr>
          <w:p w14:paraId="6FDA4C0C" w14:textId="77777777" w:rsidR="00167C96" w:rsidRDefault="00000000">
            <w:pPr>
              <w:snapToGrid w:val="0"/>
              <w:jc w:val="center"/>
              <w:rPr>
                <w:rFonts w:ascii="仿宋" w:eastAsia="仿宋" w:hAnsi="仿宋" w:hint="eastAsia"/>
                <w:b/>
                <w:bCs/>
              </w:rPr>
            </w:pPr>
            <w:r>
              <w:rPr>
                <w:rFonts w:ascii="仿宋" w:eastAsia="仿宋" w:hAnsi="仿宋"/>
                <w:b/>
                <w:bCs/>
              </w:rPr>
              <w:lastRenderedPageBreak/>
              <w:t>客观评价</w:t>
            </w:r>
          </w:p>
        </w:tc>
        <w:tc>
          <w:tcPr>
            <w:tcW w:w="7849" w:type="dxa"/>
            <w:gridSpan w:val="4"/>
            <w:vAlign w:val="center"/>
          </w:tcPr>
          <w:p w14:paraId="72E08D72" w14:textId="77777777" w:rsidR="00EC29C8" w:rsidRPr="00EC29C8" w:rsidRDefault="00EC29C8" w:rsidP="00421462">
            <w:pPr>
              <w:spacing w:line="400" w:lineRule="exact"/>
              <w:rPr>
                <w:rFonts w:ascii="仿宋" w:eastAsia="仿宋" w:hAnsi="仿宋"/>
              </w:rPr>
            </w:pPr>
            <w:r w:rsidRPr="00EC29C8">
              <w:rPr>
                <w:rFonts w:ascii="仿宋" w:eastAsia="仿宋" w:hAnsi="仿宋" w:hint="eastAsia"/>
                <w:b/>
                <w:bCs/>
              </w:rPr>
              <w:t>习近平总书记作出重要指示：</w:t>
            </w:r>
          </w:p>
          <w:p w14:paraId="2B9F34C5" w14:textId="77777777" w:rsidR="00EC29C8" w:rsidRPr="00EC29C8" w:rsidRDefault="00EC29C8" w:rsidP="00EC29C8">
            <w:pPr>
              <w:spacing w:line="400" w:lineRule="exact"/>
              <w:ind w:firstLineChars="200" w:firstLine="420"/>
              <w:rPr>
                <w:rFonts w:ascii="仿宋" w:eastAsia="仿宋" w:hAnsi="仿宋" w:hint="eastAsia"/>
              </w:rPr>
            </w:pPr>
            <w:r w:rsidRPr="00EC29C8">
              <w:rPr>
                <w:rFonts w:ascii="仿宋" w:eastAsia="仿宋" w:hAnsi="仿宋" w:hint="eastAsia"/>
              </w:rPr>
              <w:t>习近平总书记高度重视海洋油气资源自主开发和能源装备国产化。2022年4月，习近平总书记连线“深海一号”作业平台时强调：“要把装备制造牢牢抓在自己手里，努力用我们自己的装备开发油气资源，提高能源自给率，保障国家能源安全”。</w:t>
            </w:r>
          </w:p>
          <w:p w14:paraId="15B821D7"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本成果围绕海上油气田深水输气与油气集输安全需求，形成了长距离输气管道冰堵风险预测与流动调控边界条件确定方法、基于聚合物晶型调控的阻气衬管一体化成型技术、纤维/金属混杂增强多材料协同承载结构设计方法，以及覆盖功能型柔性复合管、全通径接头、检测评价和规模制造的工程应用体系，对提升我国海上油气输送关键材料、管道产品和工程装备的自主保障能力具有重要意义。</w:t>
            </w:r>
          </w:p>
          <w:p w14:paraId="53F6F864" w14:textId="77777777" w:rsidR="00EC29C8" w:rsidRPr="00EC29C8" w:rsidRDefault="00EC29C8" w:rsidP="00EC29C8">
            <w:pPr>
              <w:spacing w:line="400" w:lineRule="exact"/>
              <w:ind w:firstLineChars="200" w:firstLine="422"/>
              <w:rPr>
                <w:rFonts w:ascii="仿宋" w:eastAsia="仿宋" w:hAnsi="仿宋"/>
              </w:rPr>
            </w:pPr>
            <w:r w:rsidRPr="00EC29C8">
              <w:rPr>
                <w:rFonts w:ascii="仿宋" w:eastAsia="仿宋" w:hAnsi="仿宋" w:hint="eastAsia"/>
                <w:b/>
                <w:bCs/>
              </w:rPr>
              <w:t>1.鉴定评价</w:t>
            </w:r>
          </w:p>
          <w:p w14:paraId="44A3F283" w14:textId="3E75D0A8"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2026年6月30日，中国纺织工业联合会组织专家对“海上油气田柔性复合管规模制造关键技术与产业化”成果进行了会议鉴定。孙以泽院士和与会专家一致认为成果的总体技术水平达到国际先进水平。</w:t>
            </w:r>
          </w:p>
          <w:p w14:paraId="609B71CA" w14:textId="77777777" w:rsidR="00EC29C8" w:rsidRPr="00EC29C8" w:rsidRDefault="00EC29C8" w:rsidP="00EC29C8">
            <w:pPr>
              <w:spacing w:line="400" w:lineRule="exact"/>
              <w:ind w:firstLineChars="200" w:firstLine="422"/>
              <w:rPr>
                <w:rFonts w:ascii="仿宋" w:eastAsia="仿宋" w:hAnsi="仿宋"/>
              </w:rPr>
            </w:pPr>
            <w:r w:rsidRPr="00EC29C8">
              <w:rPr>
                <w:rFonts w:ascii="仿宋" w:eastAsia="仿宋" w:hAnsi="仿宋" w:hint="eastAsia"/>
                <w:b/>
                <w:bCs/>
              </w:rPr>
              <w:t>2.查新评价</w:t>
            </w:r>
          </w:p>
          <w:p w14:paraId="4669494B" w14:textId="615B9B5F"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2026年8月，海南热带海洋学院委托黑龙江省科学技术情报研究院，对“海洋油气柔性复合管输送系统关键技术及工程应用”开展技术咨询和国内外科技查新（编号为2026230221432GN），报告认为海上油气田柔性复合管规模制造关键技术与产业化研究提出的技术方案与国内外相关技术有所不同，在国内外未见报道。</w:t>
            </w:r>
          </w:p>
          <w:p w14:paraId="502DA633" w14:textId="77777777" w:rsidR="00EC29C8" w:rsidRPr="00EC29C8" w:rsidRDefault="00EC29C8" w:rsidP="00EC29C8">
            <w:pPr>
              <w:spacing w:line="400" w:lineRule="exact"/>
              <w:ind w:firstLineChars="200" w:firstLine="422"/>
              <w:rPr>
                <w:rFonts w:ascii="仿宋" w:eastAsia="仿宋" w:hAnsi="仿宋"/>
              </w:rPr>
            </w:pPr>
            <w:r w:rsidRPr="00EC29C8">
              <w:rPr>
                <w:rFonts w:ascii="仿宋" w:eastAsia="仿宋" w:hAnsi="仿宋" w:hint="eastAsia"/>
                <w:b/>
                <w:bCs/>
              </w:rPr>
              <w:t>3.学术评价</w:t>
            </w:r>
          </w:p>
          <w:p w14:paraId="024DD836"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①钻完井专家Phakamile Ndlovu教授在期刊《Fuel》报道：“Li（李占东）等人在水合物形成的行为特征上的研究成果，对提升水合物的形成机理认识具有重要意义”。这给长距离输气管道冰堵风险预测与流动保障技术研究提供了理论支撑。</w:t>
            </w:r>
          </w:p>
          <w:p w14:paraId="7F6C2F62"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②研究学者Qin等在《中国地质》发表的天然气水合物相变与渗流机制研究中，引用了Li（李占东）等关于孔隙尺度甲烷水合物生长特征的实验成果，验证了Li（李占东）团队微观可视化实验成果对认识水合物相变—渗流耦合过程的参考价值，为本成果确定冰堵风险边界条件提供了学术支撑。</w:t>
            </w:r>
          </w:p>
          <w:p w14:paraId="7462C367"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③研究学者Qingwen Kong等在《Chemical Engineering Science》开展管道水合物流动障碍形成与演化研究时，引用了Li（李占东）等关于甲烷水合物置换与二氧化碳水合物重组动力学机制的研究成果，为本成果长距离输气管道冰堵风险预测与流动保障技术研究提供了学术支撑。</w:t>
            </w:r>
          </w:p>
          <w:p w14:paraId="0BEF407B" w14:textId="77777777" w:rsidR="00EC29C8" w:rsidRPr="00EC29C8" w:rsidRDefault="00EC29C8" w:rsidP="00EC29C8">
            <w:pPr>
              <w:spacing w:line="400" w:lineRule="exact"/>
              <w:ind w:firstLineChars="200" w:firstLine="422"/>
              <w:rPr>
                <w:rFonts w:ascii="仿宋" w:eastAsia="仿宋" w:hAnsi="仿宋"/>
              </w:rPr>
            </w:pPr>
            <w:r w:rsidRPr="00EC29C8">
              <w:rPr>
                <w:rFonts w:ascii="仿宋" w:eastAsia="仿宋" w:hAnsi="仿宋" w:hint="eastAsia"/>
                <w:b/>
                <w:bCs/>
              </w:rPr>
              <w:t>4.媒体评价</w:t>
            </w:r>
          </w:p>
          <w:p w14:paraId="74895E1C"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国内行业组织和权威媒体对本成果及其后续产业化发展给予了积极关注。</w:t>
            </w:r>
          </w:p>
          <w:p w14:paraId="54EC578D"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①《科技日报》在报道正道海洋后续深海柔性管产业化进展时指出，企业已经形</w:t>
            </w:r>
            <w:r w:rsidRPr="00EC29C8">
              <w:rPr>
                <w:rFonts w:ascii="仿宋" w:eastAsia="仿宋" w:hAnsi="仿宋" w:hint="eastAsia"/>
              </w:rPr>
              <w:lastRenderedPageBreak/>
              <w:t>成3000米以上超深水柔性管道制造能力，并将形成每年200多公里的制造能力，相关国产化产品预计可降低采购成本30%以上。该报道反映了本成果技术体系对企业持续形成高端管材制造能力的支撑作用。</w:t>
            </w:r>
          </w:p>
          <w:p w14:paraId="09E78DF9" w14:textId="7777777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②《中共江苏省委新闻网》在相关报道中指出，正道海洋通过引进装备系统进行柔性复合管核心生产装备的升级，项目固定资产投资超过2亿美元，有力推动我国深海动态柔性管道制造由“有技术缺装备”向规模化制造能力转变，为海洋油气、海底采矿及海底氢气输送等领域提供装备支撑。</w:t>
            </w:r>
          </w:p>
          <w:p w14:paraId="133E4374" w14:textId="77777777" w:rsidR="00EC29C8" w:rsidRPr="00EC29C8" w:rsidRDefault="00EC29C8" w:rsidP="00EC29C8">
            <w:pPr>
              <w:spacing w:line="400" w:lineRule="exact"/>
              <w:ind w:firstLineChars="200" w:firstLine="422"/>
              <w:rPr>
                <w:rFonts w:ascii="仿宋" w:eastAsia="仿宋" w:hAnsi="仿宋"/>
              </w:rPr>
            </w:pPr>
            <w:r w:rsidRPr="00EC29C8">
              <w:rPr>
                <w:rFonts w:ascii="仿宋" w:eastAsia="仿宋" w:hAnsi="仿宋" w:hint="eastAsia"/>
                <w:b/>
                <w:bCs/>
              </w:rPr>
              <w:t>5.企业评价</w:t>
            </w:r>
          </w:p>
          <w:p w14:paraId="56AE833E" w14:textId="48D28723"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①委内瑞拉国家石油公司（Petróleos de Venezuela, S.A., PDVSA）对应用于马拉开波湖油气输送管线改造的柔性复合管给予高度认可。评价指出：“已铺设的291.92 km柔性管道符合API 17J相关设计要求，具有良好的技术与运行性能，实现了136口油井恢复生产并保障连续运行，有效降低了钢质管道腐蚀泄漏、维修成本及油气泄漏造成的环境影响”，体现本成果柔性复合管在海上油气输送领域的规模化应用能力。</w:t>
            </w:r>
          </w:p>
          <w:p w14:paraId="7FEDD403" w14:textId="4F9715D7" w:rsidR="00EC29C8" w:rsidRPr="00EC29C8" w:rsidRDefault="00EC29C8" w:rsidP="00EC29C8">
            <w:pPr>
              <w:spacing w:line="400" w:lineRule="exact"/>
              <w:ind w:firstLineChars="200" w:firstLine="420"/>
              <w:rPr>
                <w:rFonts w:ascii="仿宋" w:eastAsia="仿宋" w:hAnsi="仿宋"/>
              </w:rPr>
            </w:pPr>
            <w:r w:rsidRPr="00EC29C8">
              <w:rPr>
                <w:rFonts w:ascii="仿宋" w:eastAsia="仿宋" w:hAnsi="仿宋" w:hint="eastAsia"/>
              </w:rPr>
              <w:t>②中国石化西北油田分公司在塔河油田强腐蚀油气集输环境中开展了全通径高阻隔柔性连续复合管现场中。评价指出：“该产品通过高阻隔内衬、增强层优化及全通径扣压连接，有效降低了H</w:t>
            </w:r>
            <w:r w:rsidRPr="00EC29C8">
              <w:rPr>
                <w:rFonts w:ascii="Cambria Math" w:eastAsia="仿宋" w:hAnsi="Cambria Math" w:cs="Cambria Math"/>
              </w:rPr>
              <w:t>₂</w:t>
            </w:r>
            <w:r w:rsidRPr="00EC29C8">
              <w:rPr>
                <w:rFonts w:ascii="仿宋" w:eastAsia="仿宋" w:hAnsi="仿宋" w:hint="eastAsia"/>
              </w:rPr>
              <w:t>S、CH</w:t>
            </w:r>
            <w:r w:rsidRPr="00EC29C8">
              <w:rPr>
                <w:rFonts w:ascii="Cambria Math" w:eastAsia="仿宋" w:hAnsi="Cambria Math" w:cs="Cambria Math"/>
              </w:rPr>
              <w:t>₄</w:t>
            </w:r>
            <w:r w:rsidRPr="00EC29C8">
              <w:rPr>
                <w:rFonts w:ascii="仿宋" w:eastAsia="仿宋" w:hAnsi="仿宋" w:cs="仿宋" w:hint="eastAsia"/>
              </w:rPr>
              <w:t>等小分子气体渗透风险，解决了传统柔性复合管难以在线清管的问题，满足高含硫、高气油比介质的安全集输要求，具有较好的推广应用价值。”</w:t>
            </w:r>
            <w:r w:rsidRPr="00EC29C8">
              <w:rPr>
                <w:rFonts w:ascii="仿宋" w:eastAsia="仿宋" w:hAnsi="仿宋" w:hint="eastAsia"/>
              </w:rPr>
              <w:t>。</w:t>
            </w:r>
          </w:p>
          <w:p w14:paraId="24A44978" w14:textId="722DC7EC" w:rsidR="00167C96" w:rsidRDefault="00EC29C8" w:rsidP="00421462">
            <w:pPr>
              <w:spacing w:line="400" w:lineRule="exact"/>
              <w:ind w:firstLineChars="200" w:firstLine="420"/>
              <w:rPr>
                <w:rFonts w:ascii="仿宋" w:eastAsia="仿宋" w:hAnsi="仿宋" w:hint="eastAsia"/>
              </w:rPr>
            </w:pPr>
            <w:r w:rsidRPr="00EC29C8">
              <w:rPr>
                <w:rFonts w:ascii="仿宋" w:eastAsia="仿宋" w:hAnsi="仿宋" w:hint="eastAsia"/>
              </w:rPr>
              <w:t>③中国石化江汉油田分公司将柔性复合高压输送管应用于多个井站的采出油、水输送。评价表明：“投运管道运行平稳，未发生腐蚀泄漏和管材质量问题，在山区高差大、地形复杂条件下表现出良好的铺设适应性，可有效降低施工投入及运行维护成本，具有良好的经济效益和社会效益。”。</w:t>
            </w:r>
          </w:p>
        </w:tc>
      </w:tr>
      <w:tr w:rsidR="00ED2D27" w14:paraId="4BE27A20" w14:textId="77777777" w:rsidTr="0038526E">
        <w:trPr>
          <w:trHeight w:val="244"/>
          <w:jc w:val="center"/>
        </w:trPr>
        <w:tc>
          <w:tcPr>
            <w:tcW w:w="1615" w:type="dxa"/>
            <w:vMerge w:val="restart"/>
            <w:vAlign w:val="center"/>
          </w:tcPr>
          <w:p w14:paraId="0B674D51" w14:textId="77777777" w:rsidR="00ED2D27" w:rsidRDefault="00ED2D27" w:rsidP="0038526E">
            <w:pPr>
              <w:snapToGrid w:val="0"/>
              <w:jc w:val="center"/>
              <w:rPr>
                <w:rFonts w:ascii="仿宋" w:eastAsia="仿宋" w:hAnsi="仿宋" w:hint="eastAsia"/>
                <w:b/>
                <w:bCs/>
              </w:rPr>
            </w:pPr>
            <w:r>
              <w:rPr>
                <w:rFonts w:ascii="仿宋" w:eastAsia="仿宋" w:hAnsi="仿宋"/>
                <w:b/>
                <w:bCs/>
              </w:rPr>
              <w:lastRenderedPageBreak/>
              <w:t>主要知识产权目录</w:t>
            </w:r>
          </w:p>
        </w:tc>
        <w:tc>
          <w:tcPr>
            <w:tcW w:w="1962" w:type="dxa"/>
            <w:vAlign w:val="center"/>
          </w:tcPr>
          <w:p w14:paraId="4D0572C6" w14:textId="4AE0EE57"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b/>
                <w:color w:val="000000"/>
                <w:sz w:val="21"/>
                <w:szCs w:val="21"/>
              </w:rPr>
              <w:t>知识产权（标准）类别</w:t>
            </w:r>
          </w:p>
        </w:tc>
        <w:tc>
          <w:tcPr>
            <w:tcW w:w="1962" w:type="dxa"/>
            <w:vAlign w:val="center"/>
          </w:tcPr>
          <w:p w14:paraId="6510FC48" w14:textId="32246D74"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b/>
                <w:color w:val="000000"/>
                <w:sz w:val="21"/>
                <w:szCs w:val="21"/>
              </w:rPr>
              <w:t>知识产权（标准）具体名称</w:t>
            </w:r>
          </w:p>
        </w:tc>
        <w:tc>
          <w:tcPr>
            <w:tcW w:w="1962" w:type="dxa"/>
            <w:vAlign w:val="center"/>
          </w:tcPr>
          <w:p w14:paraId="57AB34A4" w14:textId="3A87B98E"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b/>
                <w:color w:val="000000"/>
                <w:sz w:val="21"/>
                <w:szCs w:val="21"/>
              </w:rPr>
              <w:t>国家（地区）</w:t>
            </w:r>
          </w:p>
        </w:tc>
        <w:tc>
          <w:tcPr>
            <w:tcW w:w="1963" w:type="dxa"/>
            <w:vAlign w:val="center"/>
          </w:tcPr>
          <w:p w14:paraId="150DC244" w14:textId="03E66231"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b/>
                <w:color w:val="000000"/>
                <w:sz w:val="21"/>
                <w:szCs w:val="21"/>
              </w:rPr>
              <w:t>授权号（标准编号）</w:t>
            </w:r>
          </w:p>
        </w:tc>
      </w:tr>
      <w:tr w:rsidR="00ED2D27" w14:paraId="28227683" w14:textId="77777777" w:rsidTr="00ED2D27">
        <w:trPr>
          <w:trHeight w:val="239"/>
          <w:jc w:val="center"/>
        </w:trPr>
        <w:tc>
          <w:tcPr>
            <w:tcW w:w="1615" w:type="dxa"/>
            <w:vMerge/>
            <w:vAlign w:val="center"/>
          </w:tcPr>
          <w:p w14:paraId="14A5C89C" w14:textId="77777777" w:rsidR="00ED2D27" w:rsidRDefault="00ED2D27" w:rsidP="00ED2D27">
            <w:pPr>
              <w:snapToGrid w:val="0"/>
              <w:jc w:val="center"/>
              <w:rPr>
                <w:rFonts w:ascii="仿宋" w:eastAsia="仿宋" w:hAnsi="仿宋"/>
                <w:b/>
                <w:bCs/>
              </w:rPr>
            </w:pPr>
          </w:p>
        </w:tc>
        <w:tc>
          <w:tcPr>
            <w:tcW w:w="1962" w:type="dxa"/>
            <w:vAlign w:val="center"/>
          </w:tcPr>
          <w:p w14:paraId="4A3D3274" w14:textId="3851B0F7"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发明专利</w:t>
            </w:r>
          </w:p>
        </w:tc>
        <w:tc>
          <w:tcPr>
            <w:tcW w:w="1962" w:type="dxa"/>
            <w:vAlign w:val="center"/>
          </w:tcPr>
          <w:p w14:paraId="28C57830" w14:textId="30FED24B"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一种气侵条件下深海超浅气层井筒温压场预测方法和系统</w:t>
            </w:r>
          </w:p>
        </w:tc>
        <w:tc>
          <w:tcPr>
            <w:tcW w:w="1962" w:type="dxa"/>
            <w:vAlign w:val="center"/>
          </w:tcPr>
          <w:p w14:paraId="3AA0A06E" w14:textId="3AD64390"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370DD148" w14:textId="48EACD9E"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2026 1 0677676.7（授权公告号 CN 122196462 B）</w:t>
            </w:r>
          </w:p>
        </w:tc>
      </w:tr>
      <w:tr w:rsidR="00ED2D27" w14:paraId="114A53F6" w14:textId="77777777" w:rsidTr="00ED2D27">
        <w:trPr>
          <w:trHeight w:val="239"/>
          <w:jc w:val="center"/>
        </w:trPr>
        <w:tc>
          <w:tcPr>
            <w:tcW w:w="1615" w:type="dxa"/>
            <w:vMerge/>
            <w:vAlign w:val="center"/>
          </w:tcPr>
          <w:p w14:paraId="4D2935FD" w14:textId="77777777" w:rsidR="00ED2D27" w:rsidRDefault="00ED2D27" w:rsidP="00ED2D27">
            <w:pPr>
              <w:snapToGrid w:val="0"/>
              <w:jc w:val="center"/>
              <w:rPr>
                <w:rFonts w:ascii="仿宋" w:eastAsia="仿宋" w:hAnsi="仿宋"/>
                <w:b/>
                <w:bCs/>
              </w:rPr>
            </w:pPr>
          </w:p>
        </w:tc>
        <w:tc>
          <w:tcPr>
            <w:tcW w:w="1962" w:type="dxa"/>
            <w:vAlign w:val="center"/>
          </w:tcPr>
          <w:p w14:paraId="08BF6ED1" w14:textId="72DF0C39"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发明专利</w:t>
            </w:r>
          </w:p>
        </w:tc>
        <w:tc>
          <w:tcPr>
            <w:tcW w:w="1962" w:type="dxa"/>
            <w:vAlign w:val="center"/>
          </w:tcPr>
          <w:p w14:paraId="330AF1BD" w14:textId="71E4E123"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一种水合物藏降压开采近井储层应力状态分析方法和系统</w:t>
            </w:r>
          </w:p>
        </w:tc>
        <w:tc>
          <w:tcPr>
            <w:tcW w:w="1962" w:type="dxa"/>
            <w:vAlign w:val="center"/>
          </w:tcPr>
          <w:p w14:paraId="45E8A0C6" w14:textId="749DF46C"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4108FFCE" w14:textId="6AB6C50C"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2026 1 0541905.2（授权公告号 CN 122088305 B）</w:t>
            </w:r>
          </w:p>
        </w:tc>
      </w:tr>
      <w:tr w:rsidR="00ED2D27" w14:paraId="1C22E93F" w14:textId="77777777" w:rsidTr="00ED2D27">
        <w:trPr>
          <w:trHeight w:val="1209"/>
          <w:jc w:val="center"/>
        </w:trPr>
        <w:tc>
          <w:tcPr>
            <w:tcW w:w="1615" w:type="dxa"/>
            <w:vMerge/>
            <w:vAlign w:val="center"/>
          </w:tcPr>
          <w:p w14:paraId="6B83BAD6" w14:textId="77777777" w:rsidR="00ED2D27" w:rsidRDefault="00ED2D27" w:rsidP="00ED2D27">
            <w:pPr>
              <w:snapToGrid w:val="0"/>
              <w:jc w:val="center"/>
              <w:rPr>
                <w:rFonts w:ascii="仿宋" w:eastAsia="仿宋" w:hAnsi="仿宋"/>
                <w:b/>
                <w:bCs/>
              </w:rPr>
            </w:pPr>
          </w:p>
        </w:tc>
        <w:tc>
          <w:tcPr>
            <w:tcW w:w="1962" w:type="dxa"/>
            <w:vAlign w:val="center"/>
          </w:tcPr>
          <w:p w14:paraId="1D2F8E8C" w14:textId="00B25A45"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发明专利</w:t>
            </w:r>
          </w:p>
        </w:tc>
        <w:tc>
          <w:tcPr>
            <w:tcW w:w="1962" w:type="dxa"/>
            <w:vAlign w:val="center"/>
          </w:tcPr>
          <w:p w14:paraId="447C60F5" w14:textId="553DB4AC"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深水超浅气层水平井气侵温压神经后验校准方法和系统</w:t>
            </w:r>
          </w:p>
        </w:tc>
        <w:tc>
          <w:tcPr>
            <w:tcW w:w="1962" w:type="dxa"/>
            <w:vAlign w:val="center"/>
          </w:tcPr>
          <w:p w14:paraId="72A07782" w14:textId="3B491FC0"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37A3A5F8" w14:textId="7F53D1F4"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2026 1 1080651.5（授权公 告号： CN 122595928 B）</w:t>
            </w:r>
          </w:p>
        </w:tc>
      </w:tr>
      <w:tr w:rsidR="00ED2D27" w14:paraId="44B2DCA4" w14:textId="77777777" w:rsidTr="00ED2D27">
        <w:trPr>
          <w:trHeight w:val="239"/>
          <w:jc w:val="center"/>
        </w:trPr>
        <w:tc>
          <w:tcPr>
            <w:tcW w:w="1615" w:type="dxa"/>
            <w:vMerge/>
            <w:vAlign w:val="center"/>
          </w:tcPr>
          <w:p w14:paraId="025ADAAD" w14:textId="77777777" w:rsidR="00ED2D27" w:rsidRDefault="00ED2D27" w:rsidP="00ED2D27">
            <w:pPr>
              <w:snapToGrid w:val="0"/>
              <w:jc w:val="center"/>
              <w:rPr>
                <w:rFonts w:ascii="仿宋" w:eastAsia="仿宋" w:hAnsi="仿宋"/>
                <w:b/>
                <w:bCs/>
              </w:rPr>
            </w:pPr>
          </w:p>
        </w:tc>
        <w:tc>
          <w:tcPr>
            <w:tcW w:w="1962" w:type="dxa"/>
            <w:vAlign w:val="center"/>
          </w:tcPr>
          <w:p w14:paraId="40D13B19" w14:textId="4DAA693D"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发明专利</w:t>
            </w:r>
          </w:p>
        </w:tc>
        <w:tc>
          <w:tcPr>
            <w:tcW w:w="1962" w:type="dxa"/>
            <w:vAlign w:val="center"/>
          </w:tcPr>
          <w:p w14:paraId="35D50633" w14:textId="1D941CB5"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考虑压力波时滞与孔隙结构熵的水合物分解方法和系统</w:t>
            </w:r>
          </w:p>
        </w:tc>
        <w:tc>
          <w:tcPr>
            <w:tcW w:w="1962" w:type="dxa"/>
            <w:vAlign w:val="center"/>
          </w:tcPr>
          <w:p w14:paraId="485B9D61" w14:textId="561E1389"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7283C894" w14:textId="5AE0490F"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2026 1 1161218.7（专授权公告号： CN 122655648 A）</w:t>
            </w:r>
          </w:p>
        </w:tc>
      </w:tr>
      <w:tr w:rsidR="00ED2D27" w14:paraId="327C71D1" w14:textId="77777777" w:rsidTr="00ED2D27">
        <w:trPr>
          <w:trHeight w:val="239"/>
          <w:jc w:val="center"/>
        </w:trPr>
        <w:tc>
          <w:tcPr>
            <w:tcW w:w="1615" w:type="dxa"/>
            <w:vMerge/>
            <w:vAlign w:val="center"/>
          </w:tcPr>
          <w:p w14:paraId="1CC74856" w14:textId="77777777" w:rsidR="00ED2D27" w:rsidRDefault="00ED2D27" w:rsidP="00ED2D27">
            <w:pPr>
              <w:snapToGrid w:val="0"/>
              <w:jc w:val="center"/>
              <w:rPr>
                <w:rFonts w:ascii="仿宋" w:eastAsia="仿宋" w:hAnsi="仿宋"/>
                <w:b/>
                <w:bCs/>
              </w:rPr>
            </w:pPr>
          </w:p>
        </w:tc>
        <w:tc>
          <w:tcPr>
            <w:tcW w:w="1962" w:type="dxa"/>
            <w:vAlign w:val="center"/>
          </w:tcPr>
          <w:p w14:paraId="154B7155" w14:textId="695F9991"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发明专利</w:t>
            </w:r>
          </w:p>
        </w:tc>
        <w:tc>
          <w:tcPr>
            <w:tcW w:w="1962" w:type="dxa"/>
            <w:vAlign w:val="center"/>
          </w:tcPr>
          <w:p w14:paraId="0A47792A" w14:textId="139336B5"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深水长输管道的清管装置及方法</w:t>
            </w:r>
          </w:p>
        </w:tc>
        <w:tc>
          <w:tcPr>
            <w:tcW w:w="1962" w:type="dxa"/>
            <w:vAlign w:val="center"/>
          </w:tcPr>
          <w:p w14:paraId="72FFE4F8" w14:textId="11A667DE"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242ECD08" w14:textId="37EB6646"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2023 1 0977255.2（授权公告号 CN 117019795 B）</w:t>
            </w:r>
          </w:p>
        </w:tc>
      </w:tr>
      <w:tr w:rsidR="00ED2D27" w14:paraId="5E3ABA78" w14:textId="77777777" w:rsidTr="00ED2D27">
        <w:trPr>
          <w:trHeight w:val="239"/>
          <w:jc w:val="center"/>
        </w:trPr>
        <w:tc>
          <w:tcPr>
            <w:tcW w:w="1615" w:type="dxa"/>
            <w:vMerge/>
            <w:vAlign w:val="center"/>
          </w:tcPr>
          <w:p w14:paraId="6B272475" w14:textId="77777777" w:rsidR="00ED2D27" w:rsidRDefault="00ED2D27" w:rsidP="00ED2D27">
            <w:pPr>
              <w:snapToGrid w:val="0"/>
              <w:jc w:val="center"/>
              <w:rPr>
                <w:rFonts w:ascii="仿宋" w:eastAsia="仿宋" w:hAnsi="仿宋"/>
                <w:b/>
                <w:bCs/>
              </w:rPr>
            </w:pPr>
          </w:p>
        </w:tc>
        <w:tc>
          <w:tcPr>
            <w:tcW w:w="1962" w:type="dxa"/>
            <w:vAlign w:val="center"/>
          </w:tcPr>
          <w:p w14:paraId="003CCF19" w14:textId="5CBF4EDD"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发明专利</w:t>
            </w:r>
          </w:p>
        </w:tc>
        <w:tc>
          <w:tcPr>
            <w:tcW w:w="1962" w:type="dxa"/>
            <w:vAlign w:val="center"/>
          </w:tcPr>
          <w:p w14:paraId="37E1AF73" w14:textId="32416068"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干预作业下井筒内天然气水合物生长速度的计算方法</w:t>
            </w:r>
          </w:p>
        </w:tc>
        <w:tc>
          <w:tcPr>
            <w:tcW w:w="1962" w:type="dxa"/>
            <w:vAlign w:val="center"/>
          </w:tcPr>
          <w:p w14:paraId="68149F8D" w14:textId="111C53BF"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57AE8BEC" w14:textId="06C57153"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2022 1 1645885.1（授权公告号 CN 115629165 B）</w:t>
            </w:r>
          </w:p>
        </w:tc>
      </w:tr>
      <w:tr w:rsidR="00ED2D27" w14:paraId="169EEF05" w14:textId="77777777" w:rsidTr="00ED2D27">
        <w:trPr>
          <w:trHeight w:val="239"/>
          <w:jc w:val="center"/>
        </w:trPr>
        <w:tc>
          <w:tcPr>
            <w:tcW w:w="1615" w:type="dxa"/>
            <w:vMerge/>
            <w:vAlign w:val="center"/>
          </w:tcPr>
          <w:p w14:paraId="0E10705A" w14:textId="77777777" w:rsidR="00ED2D27" w:rsidRDefault="00ED2D27" w:rsidP="00ED2D27">
            <w:pPr>
              <w:snapToGrid w:val="0"/>
              <w:jc w:val="center"/>
              <w:rPr>
                <w:rFonts w:ascii="仿宋" w:eastAsia="仿宋" w:hAnsi="仿宋"/>
                <w:b/>
                <w:bCs/>
              </w:rPr>
            </w:pPr>
          </w:p>
        </w:tc>
        <w:tc>
          <w:tcPr>
            <w:tcW w:w="1962" w:type="dxa"/>
            <w:vAlign w:val="center"/>
          </w:tcPr>
          <w:p w14:paraId="6C2AA7FB" w14:textId="5F9933B3"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实用新型专利</w:t>
            </w:r>
          </w:p>
        </w:tc>
        <w:tc>
          <w:tcPr>
            <w:tcW w:w="1962" w:type="dxa"/>
            <w:vAlign w:val="center"/>
          </w:tcPr>
          <w:p w14:paraId="3B7B3F65" w14:textId="13613CDC"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一种可用于小分子气体输送的复合管</w:t>
            </w:r>
          </w:p>
        </w:tc>
        <w:tc>
          <w:tcPr>
            <w:tcW w:w="1962" w:type="dxa"/>
            <w:vAlign w:val="center"/>
          </w:tcPr>
          <w:p w14:paraId="023BDF3C" w14:textId="14688DCE"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27B2EF9C" w14:textId="0A14CF10"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2022 2 0551097.5（授权公告号 CN 217153326 U）</w:t>
            </w:r>
          </w:p>
        </w:tc>
      </w:tr>
      <w:tr w:rsidR="00ED2D27" w14:paraId="127C54A3" w14:textId="77777777" w:rsidTr="00ED2D27">
        <w:trPr>
          <w:trHeight w:val="239"/>
          <w:jc w:val="center"/>
        </w:trPr>
        <w:tc>
          <w:tcPr>
            <w:tcW w:w="1615" w:type="dxa"/>
            <w:vMerge/>
            <w:vAlign w:val="center"/>
          </w:tcPr>
          <w:p w14:paraId="6A4440E5" w14:textId="77777777" w:rsidR="00ED2D27" w:rsidRDefault="00ED2D27" w:rsidP="00ED2D27">
            <w:pPr>
              <w:snapToGrid w:val="0"/>
              <w:jc w:val="center"/>
              <w:rPr>
                <w:rFonts w:ascii="仿宋" w:eastAsia="仿宋" w:hAnsi="仿宋"/>
                <w:b/>
                <w:bCs/>
              </w:rPr>
            </w:pPr>
          </w:p>
        </w:tc>
        <w:tc>
          <w:tcPr>
            <w:tcW w:w="1962" w:type="dxa"/>
            <w:vAlign w:val="center"/>
          </w:tcPr>
          <w:p w14:paraId="37C31BC8" w14:textId="5B584744"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实用新型专利</w:t>
            </w:r>
          </w:p>
        </w:tc>
        <w:tc>
          <w:tcPr>
            <w:tcW w:w="1962" w:type="dxa"/>
            <w:vAlign w:val="center"/>
          </w:tcPr>
          <w:p w14:paraId="530D8E9D" w14:textId="64B2ED38"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一种柔性复合管</w:t>
            </w:r>
          </w:p>
        </w:tc>
        <w:tc>
          <w:tcPr>
            <w:tcW w:w="1962" w:type="dxa"/>
            <w:vAlign w:val="center"/>
          </w:tcPr>
          <w:p w14:paraId="4A24F766" w14:textId="3F435E4D"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中国</w:t>
            </w:r>
          </w:p>
        </w:tc>
        <w:tc>
          <w:tcPr>
            <w:tcW w:w="1963" w:type="dxa"/>
            <w:vAlign w:val="center"/>
          </w:tcPr>
          <w:p w14:paraId="577A863A" w14:textId="16858B77" w:rsidR="00ED2D27" w:rsidRPr="00ED2D27" w:rsidRDefault="00ED2D27" w:rsidP="00ED2D27">
            <w:pPr>
              <w:pStyle w:val="a4"/>
              <w:spacing w:line="240" w:lineRule="auto"/>
              <w:ind w:firstLineChars="0" w:firstLine="0"/>
              <w:jc w:val="center"/>
              <w:rPr>
                <w:rFonts w:ascii="仿宋" w:eastAsia="仿宋" w:hAnsi="仿宋"/>
                <w:color w:val="000000"/>
                <w:sz w:val="21"/>
                <w:szCs w:val="21"/>
              </w:rPr>
            </w:pPr>
            <w:r w:rsidRPr="00ED2D27">
              <w:rPr>
                <w:rFonts w:ascii="仿宋" w:eastAsia="仿宋" w:hAnsi="仿宋" w:hint="eastAsia"/>
                <w:color w:val="000000"/>
                <w:sz w:val="21"/>
                <w:szCs w:val="21"/>
              </w:rPr>
              <w:t>ZL 2022 2 0769814.1（授权公告号 CN 217030278 U）</w:t>
            </w:r>
          </w:p>
        </w:tc>
      </w:tr>
    </w:tbl>
    <w:p w14:paraId="1055CB9C" w14:textId="77777777" w:rsidR="00167C96" w:rsidRDefault="00167C96">
      <w:pPr>
        <w:widowControl/>
        <w:jc w:val="left"/>
        <w:rPr>
          <w:rFonts w:ascii="仿宋" w:eastAsia="仿宋" w:hAnsi="仿宋" w:cs="Times New Roman" w:hint="eastAsia"/>
          <w:sz w:val="32"/>
          <w:szCs w:val="32"/>
        </w:rPr>
      </w:pPr>
    </w:p>
    <w:sectPr w:rsidR="00167C96">
      <w:footerReference w:type="default" r:id="rId7"/>
      <w:pgSz w:w="11906" w:h="16838"/>
      <w:pgMar w:top="1985" w:right="1134" w:bottom="1440" w:left="1701" w:header="851" w:footer="992" w:gutter="0"/>
      <w:pgNumType w:fmt="numberInDash"/>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2FDDF" w14:textId="77777777" w:rsidR="00712A4F" w:rsidRDefault="00712A4F">
      <w:r>
        <w:separator/>
      </w:r>
    </w:p>
  </w:endnote>
  <w:endnote w:type="continuationSeparator" w:id="0">
    <w:p w14:paraId="44209CE8" w14:textId="77777777" w:rsidR="00712A4F" w:rsidRDefault="0071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C0D0" w14:textId="77777777" w:rsidR="00167C96" w:rsidRDefault="00000000">
    <w:pPr>
      <w:pStyle w:val="aa"/>
      <w:jc w:val="center"/>
    </w:pPr>
    <w:r>
      <w:rPr>
        <w:noProof/>
      </w:rPr>
      <mc:AlternateContent>
        <mc:Choice Requires="wps">
          <w:drawing>
            <wp:anchor distT="0" distB="0" distL="114300" distR="114300" simplePos="0" relativeHeight="251659264" behindDoc="0" locked="0" layoutInCell="1" allowOverlap="1" wp14:anchorId="276EF40A" wp14:editId="6694E066">
              <wp:simplePos x="0" y="0"/>
              <wp:positionH relativeFrom="margin">
                <wp:align>outside</wp:align>
              </wp:positionH>
              <wp:positionV relativeFrom="paragraph">
                <wp:posOffset>0</wp:posOffset>
              </wp:positionV>
              <wp:extent cx="534035" cy="384175"/>
              <wp:effectExtent l="0" t="0" r="0" b="952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384175"/>
                      </a:xfrm>
                      <a:prstGeom prst="rect">
                        <a:avLst/>
                      </a:prstGeom>
                      <a:noFill/>
                      <a:ln>
                        <a:noFill/>
                      </a:ln>
                    </wps:spPr>
                    <wps:txbx>
                      <w:txbxContent>
                        <w:p w14:paraId="78718ECE" w14:textId="77777777" w:rsidR="00167C96" w:rsidRDefault="00000000">
                          <w:pPr>
                            <w:pStyle w:val="aa"/>
                            <w:rPr>
                              <w:rStyle w:val="af0"/>
                              <w:rFonts w:ascii="宋体" w:hAnsi="宋体" w:cs="宋体" w:hint="eastAsia"/>
                              <w:sz w:val="28"/>
                              <w:szCs w:val="28"/>
                            </w:rPr>
                          </w:pPr>
                          <w:r>
                            <w:rPr>
                              <w:rFonts w:ascii="宋体" w:hAnsi="宋体" w:cs="宋体" w:hint="eastAsia"/>
                              <w:sz w:val="28"/>
                              <w:szCs w:val="28"/>
                            </w:rPr>
                            <w:fldChar w:fldCharType="begin"/>
                          </w:r>
                          <w:r>
                            <w:rPr>
                              <w:rStyle w:val="af0"/>
                              <w:rFonts w:ascii="宋体" w:hAnsi="宋体" w:cs="宋体" w:hint="eastAsia"/>
                              <w:sz w:val="28"/>
                              <w:szCs w:val="28"/>
                            </w:rPr>
                            <w:instrText xml:space="preserve">PAGE  </w:instrText>
                          </w:r>
                          <w:r>
                            <w:rPr>
                              <w:rFonts w:ascii="宋体" w:hAnsi="宋体" w:cs="宋体" w:hint="eastAsia"/>
                              <w:sz w:val="28"/>
                              <w:szCs w:val="28"/>
                            </w:rPr>
                            <w:fldChar w:fldCharType="separate"/>
                          </w:r>
                          <w:r>
                            <w:rPr>
                              <w:rStyle w:val="af0"/>
                              <w:rFonts w:ascii="宋体" w:hAnsi="宋体" w:cs="宋体"/>
                              <w:sz w:val="28"/>
                              <w:szCs w:val="28"/>
                            </w:rPr>
                            <w:t>- 1 -</w:t>
                          </w:r>
                          <w:r>
                            <w:rPr>
                              <w:rFonts w:ascii="宋体" w:hAnsi="宋体" w:cs="宋体" w:hint="eastAsia"/>
                              <w:sz w:val="28"/>
                              <w:szCs w:val="28"/>
                            </w:rPr>
                            <w:fldChar w:fldCharType="end"/>
                          </w:r>
                        </w:p>
                        <w:p w14:paraId="3780684D" w14:textId="77777777" w:rsidR="00167C96" w:rsidRDefault="00167C96"/>
                      </w:txbxContent>
                    </wps:txbx>
                    <wps:bodyPr rot="0" vert="horz" wrap="none" lIns="0" tIns="0" rIns="0" bIns="0" anchor="t" anchorCtr="0" upright="1">
                      <a:spAutoFit/>
                    </wps:bodyPr>
                  </wps:wsp>
                </a:graphicData>
              </a:graphic>
            </wp:anchor>
          </w:drawing>
        </mc:Choice>
        <mc:Fallback>
          <w:pict>
            <v:shapetype w14:anchorId="276EF40A" id="_x0000_t202" coordsize="21600,21600" o:spt="202" path="m,l,21600r21600,l21600,xe">
              <v:stroke joinstyle="miter"/>
              <v:path gradientshapeok="t" o:connecttype="rect"/>
            </v:shapetype>
            <v:shape id="文本框 2" o:spid="_x0000_s1026" type="#_x0000_t202" style="position:absolute;left:0;text-align:left;margin-left:-9.15pt;margin-top:0;width:42.05pt;height:30.2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" filled="f" stroked="f">
              <v:textbox style="mso-fit-shape-to-text:t" inset="0,0,0,0">
                <w:txbxContent>
                  <w:p w14:paraId="78718ECE" w14:textId="77777777" w:rsidR="00167C96" w:rsidRDefault="00000000">
                    <w:pPr>
                      <w:pStyle w:val="aa"/>
                      <w:rPr>
                        <w:rStyle w:val="af0"/>
                        <w:rFonts w:ascii="宋体" w:hAnsi="宋体" w:cs="宋体" w:hint="eastAsia"/>
                        <w:sz w:val="28"/>
                        <w:szCs w:val="28"/>
                      </w:rPr>
                    </w:pPr>
                    <w:r>
                      <w:rPr>
                        <w:rFonts w:ascii="宋体" w:hAnsi="宋体" w:cs="宋体" w:hint="eastAsia"/>
                        <w:sz w:val="28"/>
                        <w:szCs w:val="28"/>
                      </w:rPr>
                      <w:fldChar w:fldCharType="begin"/>
                    </w:r>
                    <w:r>
                      <w:rPr>
                        <w:rStyle w:val="af0"/>
                        <w:rFonts w:ascii="宋体" w:hAnsi="宋体" w:cs="宋体" w:hint="eastAsia"/>
                        <w:sz w:val="28"/>
                        <w:szCs w:val="28"/>
                      </w:rPr>
                      <w:instrText xml:space="preserve">PAGE  </w:instrText>
                    </w:r>
                    <w:r>
                      <w:rPr>
                        <w:rFonts w:ascii="宋体" w:hAnsi="宋体" w:cs="宋体" w:hint="eastAsia"/>
                        <w:sz w:val="28"/>
                        <w:szCs w:val="28"/>
                      </w:rPr>
                      <w:fldChar w:fldCharType="separate"/>
                    </w:r>
                    <w:r>
                      <w:rPr>
                        <w:rStyle w:val="af0"/>
                        <w:rFonts w:ascii="宋体" w:hAnsi="宋体" w:cs="宋体"/>
                        <w:sz w:val="28"/>
                        <w:szCs w:val="28"/>
                      </w:rPr>
                      <w:t>- 1 -</w:t>
                    </w:r>
                    <w:r>
                      <w:rPr>
                        <w:rFonts w:ascii="宋体" w:hAnsi="宋体" w:cs="宋体" w:hint="eastAsia"/>
                        <w:sz w:val="28"/>
                        <w:szCs w:val="28"/>
                      </w:rPr>
                      <w:fldChar w:fldCharType="end"/>
                    </w:r>
                  </w:p>
                  <w:p w14:paraId="3780684D" w14:textId="77777777" w:rsidR="00167C96" w:rsidRDefault="00167C96"/>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FE65D" w14:textId="77777777" w:rsidR="00712A4F" w:rsidRDefault="00712A4F">
      <w:r>
        <w:separator/>
      </w:r>
    </w:p>
  </w:footnote>
  <w:footnote w:type="continuationSeparator" w:id="0">
    <w:p w14:paraId="0D18C942" w14:textId="77777777" w:rsidR="00712A4F" w:rsidRDefault="00712A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95A"/>
    <w:rsid w:val="000024EC"/>
    <w:rsid w:val="00003708"/>
    <w:rsid w:val="00036537"/>
    <w:rsid w:val="00043F68"/>
    <w:rsid w:val="00080269"/>
    <w:rsid w:val="000959FC"/>
    <w:rsid w:val="00095A71"/>
    <w:rsid w:val="000B1C55"/>
    <w:rsid w:val="000B64D1"/>
    <w:rsid w:val="000C2908"/>
    <w:rsid w:val="000C2D2F"/>
    <w:rsid w:val="000C3BF0"/>
    <w:rsid w:val="000C3E09"/>
    <w:rsid w:val="000D0155"/>
    <w:rsid w:val="000E4F52"/>
    <w:rsid w:val="000E5230"/>
    <w:rsid w:val="000E5B9A"/>
    <w:rsid w:val="000E640E"/>
    <w:rsid w:val="000F02CD"/>
    <w:rsid w:val="000F1EF7"/>
    <w:rsid w:val="001000CF"/>
    <w:rsid w:val="001023DA"/>
    <w:rsid w:val="00105906"/>
    <w:rsid w:val="00121554"/>
    <w:rsid w:val="00122C7E"/>
    <w:rsid w:val="001240B6"/>
    <w:rsid w:val="001241D6"/>
    <w:rsid w:val="001342E5"/>
    <w:rsid w:val="00145C70"/>
    <w:rsid w:val="00155455"/>
    <w:rsid w:val="001605A3"/>
    <w:rsid w:val="00163FD1"/>
    <w:rsid w:val="00167C96"/>
    <w:rsid w:val="001749C9"/>
    <w:rsid w:val="001A2255"/>
    <w:rsid w:val="001C4FF0"/>
    <w:rsid w:val="001E5C71"/>
    <w:rsid w:val="001F4357"/>
    <w:rsid w:val="001F735E"/>
    <w:rsid w:val="00217316"/>
    <w:rsid w:val="00225FBE"/>
    <w:rsid w:val="00232232"/>
    <w:rsid w:val="00271925"/>
    <w:rsid w:val="0027498D"/>
    <w:rsid w:val="00280EA7"/>
    <w:rsid w:val="002A1895"/>
    <w:rsid w:val="002A7752"/>
    <w:rsid w:val="002B55AD"/>
    <w:rsid w:val="002C7984"/>
    <w:rsid w:val="002D495A"/>
    <w:rsid w:val="002D5360"/>
    <w:rsid w:val="002D5421"/>
    <w:rsid w:val="002E11FC"/>
    <w:rsid w:val="002E5392"/>
    <w:rsid w:val="002F2BA0"/>
    <w:rsid w:val="002F2E35"/>
    <w:rsid w:val="002F3E9D"/>
    <w:rsid w:val="002F4BBF"/>
    <w:rsid w:val="0030207A"/>
    <w:rsid w:val="00304317"/>
    <w:rsid w:val="00324B95"/>
    <w:rsid w:val="00335243"/>
    <w:rsid w:val="00335CF6"/>
    <w:rsid w:val="003543E2"/>
    <w:rsid w:val="00355235"/>
    <w:rsid w:val="003618CB"/>
    <w:rsid w:val="00363B58"/>
    <w:rsid w:val="00363E73"/>
    <w:rsid w:val="003650B7"/>
    <w:rsid w:val="0038526E"/>
    <w:rsid w:val="003A7B7F"/>
    <w:rsid w:val="003B1236"/>
    <w:rsid w:val="003B18BF"/>
    <w:rsid w:val="003B4C79"/>
    <w:rsid w:val="003C2D63"/>
    <w:rsid w:val="003D2823"/>
    <w:rsid w:val="0040006E"/>
    <w:rsid w:val="00405E74"/>
    <w:rsid w:val="0041300E"/>
    <w:rsid w:val="00421462"/>
    <w:rsid w:val="00424599"/>
    <w:rsid w:val="00424827"/>
    <w:rsid w:val="00430699"/>
    <w:rsid w:val="00431E48"/>
    <w:rsid w:val="00433CBE"/>
    <w:rsid w:val="00433E57"/>
    <w:rsid w:val="0044494F"/>
    <w:rsid w:val="00460169"/>
    <w:rsid w:val="00463562"/>
    <w:rsid w:val="00482F98"/>
    <w:rsid w:val="00496B4B"/>
    <w:rsid w:val="004A648A"/>
    <w:rsid w:val="004E7888"/>
    <w:rsid w:val="004F4CBD"/>
    <w:rsid w:val="005039CE"/>
    <w:rsid w:val="00511A13"/>
    <w:rsid w:val="005353F5"/>
    <w:rsid w:val="00553AB5"/>
    <w:rsid w:val="00587609"/>
    <w:rsid w:val="0059566B"/>
    <w:rsid w:val="005D431C"/>
    <w:rsid w:val="005E415D"/>
    <w:rsid w:val="005F682D"/>
    <w:rsid w:val="00615181"/>
    <w:rsid w:val="006300A7"/>
    <w:rsid w:val="00632731"/>
    <w:rsid w:val="00644642"/>
    <w:rsid w:val="00655D5D"/>
    <w:rsid w:val="00664CFA"/>
    <w:rsid w:val="0067381B"/>
    <w:rsid w:val="00681E39"/>
    <w:rsid w:val="006A0A3B"/>
    <w:rsid w:val="006B0480"/>
    <w:rsid w:val="006B2D1F"/>
    <w:rsid w:val="006E424B"/>
    <w:rsid w:val="007006CB"/>
    <w:rsid w:val="0070314F"/>
    <w:rsid w:val="0070359F"/>
    <w:rsid w:val="00712A4F"/>
    <w:rsid w:val="00737507"/>
    <w:rsid w:val="007440BD"/>
    <w:rsid w:val="00745B07"/>
    <w:rsid w:val="00750A5F"/>
    <w:rsid w:val="00760129"/>
    <w:rsid w:val="00764E0E"/>
    <w:rsid w:val="00771B00"/>
    <w:rsid w:val="00774BC1"/>
    <w:rsid w:val="007A3F49"/>
    <w:rsid w:val="007C3F02"/>
    <w:rsid w:val="00833442"/>
    <w:rsid w:val="00855137"/>
    <w:rsid w:val="00862230"/>
    <w:rsid w:val="00867DDF"/>
    <w:rsid w:val="008C4D62"/>
    <w:rsid w:val="008E103B"/>
    <w:rsid w:val="008E2821"/>
    <w:rsid w:val="008E51C8"/>
    <w:rsid w:val="008E5FBB"/>
    <w:rsid w:val="008E62F7"/>
    <w:rsid w:val="009008EC"/>
    <w:rsid w:val="0090784A"/>
    <w:rsid w:val="00917134"/>
    <w:rsid w:val="009244BA"/>
    <w:rsid w:val="00971049"/>
    <w:rsid w:val="00973819"/>
    <w:rsid w:val="009A152B"/>
    <w:rsid w:val="009A5C88"/>
    <w:rsid w:val="009A7D7D"/>
    <w:rsid w:val="009D17A3"/>
    <w:rsid w:val="009D2684"/>
    <w:rsid w:val="009E6E0D"/>
    <w:rsid w:val="009F2059"/>
    <w:rsid w:val="00A02EA1"/>
    <w:rsid w:val="00A03867"/>
    <w:rsid w:val="00A1386F"/>
    <w:rsid w:val="00A151AA"/>
    <w:rsid w:val="00A252D5"/>
    <w:rsid w:val="00A274C7"/>
    <w:rsid w:val="00A33ECC"/>
    <w:rsid w:val="00A57C25"/>
    <w:rsid w:val="00A633AF"/>
    <w:rsid w:val="00A65E1C"/>
    <w:rsid w:val="00A678D4"/>
    <w:rsid w:val="00A67E32"/>
    <w:rsid w:val="00A97562"/>
    <w:rsid w:val="00AC170F"/>
    <w:rsid w:val="00AD2762"/>
    <w:rsid w:val="00B0275B"/>
    <w:rsid w:val="00B240A2"/>
    <w:rsid w:val="00B272A4"/>
    <w:rsid w:val="00B42C5A"/>
    <w:rsid w:val="00B51B49"/>
    <w:rsid w:val="00B552F0"/>
    <w:rsid w:val="00B635BB"/>
    <w:rsid w:val="00B74063"/>
    <w:rsid w:val="00BB0B3C"/>
    <w:rsid w:val="00BB68F5"/>
    <w:rsid w:val="00BE1749"/>
    <w:rsid w:val="00C01722"/>
    <w:rsid w:val="00C1503B"/>
    <w:rsid w:val="00C20356"/>
    <w:rsid w:val="00C23800"/>
    <w:rsid w:val="00C257C6"/>
    <w:rsid w:val="00C32665"/>
    <w:rsid w:val="00C44DFC"/>
    <w:rsid w:val="00C53039"/>
    <w:rsid w:val="00C55FF8"/>
    <w:rsid w:val="00C57970"/>
    <w:rsid w:val="00C73ADE"/>
    <w:rsid w:val="00C75EAA"/>
    <w:rsid w:val="00C820B6"/>
    <w:rsid w:val="00C843BC"/>
    <w:rsid w:val="00CB39F1"/>
    <w:rsid w:val="00CB5904"/>
    <w:rsid w:val="00CC7207"/>
    <w:rsid w:val="00CD164C"/>
    <w:rsid w:val="00CD72C8"/>
    <w:rsid w:val="00CE1A19"/>
    <w:rsid w:val="00CE2CC4"/>
    <w:rsid w:val="00CE7895"/>
    <w:rsid w:val="00CE7B30"/>
    <w:rsid w:val="00CF5837"/>
    <w:rsid w:val="00CF7CE1"/>
    <w:rsid w:val="00D245FE"/>
    <w:rsid w:val="00D26ED4"/>
    <w:rsid w:val="00D27DBC"/>
    <w:rsid w:val="00D355DD"/>
    <w:rsid w:val="00D45130"/>
    <w:rsid w:val="00D62384"/>
    <w:rsid w:val="00D751DA"/>
    <w:rsid w:val="00D87781"/>
    <w:rsid w:val="00DD3ED9"/>
    <w:rsid w:val="00DD6041"/>
    <w:rsid w:val="00DE359E"/>
    <w:rsid w:val="00DF639F"/>
    <w:rsid w:val="00E05A72"/>
    <w:rsid w:val="00E14A76"/>
    <w:rsid w:val="00E30997"/>
    <w:rsid w:val="00E31DE2"/>
    <w:rsid w:val="00E32327"/>
    <w:rsid w:val="00E4298F"/>
    <w:rsid w:val="00E53BB5"/>
    <w:rsid w:val="00E67C35"/>
    <w:rsid w:val="00E720A6"/>
    <w:rsid w:val="00E81ABA"/>
    <w:rsid w:val="00E872E7"/>
    <w:rsid w:val="00EA5256"/>
    <w:rsid w:val="00EC29C8"/>
    <w:rsid w:val="00ED2D27"/>
    <w:rsid w:val="00EE0600"/>
    <w:rsid w:val="00EF6A6C"/>
    <w:rsid w:val="00F22718"/>
    <w:rsid w:val="00F25AED"/>
    <w:rsid w:val="00F3258A"/>
    <w:rsid w:val="00F356EB"/>
    <w:rsid w:val="00F37536"/>
    <w:rsid w:val="00F44EAC"/>
    <w:rsid w:val="00F476D9"/>
    <w:rsid w:val="00F61182"/>
    <w:rsid w:val="00F95726"/>
    <w:rsid w:val="00F95AF7"/>
    <w:rsid w:val="00FB5165"/>
    <w:rsid w:val="00FE2312"/>
    <w:rsid w:val="00FF373A"/>
    <w:rsid w:val="2197632B"/>
    <w:rsid w:val="5C647122"/>
    <w:rsid w:val="648750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2D56"/>
  <w15:docId w15:val="{6D1E26C3-7E68-4A84-9B71-A19AF85FC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jc w:val="center"/>
      <w:outlineLvl w:val="0"/>
    </w:pPr>
    <w:rPr>
      <w:rFonts w:ascii="仿宋_GB2312" w:eastAsia="仿宋_GB2312" w:hAnsi="Times New Roman" w:cs="Times New Roman"/>
      <w:kern w:val="0"/>
      <w:sz w:val="28"/>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1"/>
    <w:uiPriority w:val="99"/>
    <w:unhideWhenUsed/>
    <w:qFormat/>
    <w:pPr>
      <w:jc w:val="left"/>
    </w:pPr>
  </w:style>
  <w:style w:type="paragraph" w:styleId="a4">
    <w:name w:val="Plain Text"/>
    <w:basedOn w:val="a"/>
    <w:link w:val="a5"/>
    <w:qFormat/>
    <w:pPr>
      <w:spacing w:line="360" w:lineRule="auto"/>
      <w:ind w:firstLineChars="200" w:firstLine="480"/>
    </w:pPr>
    <w:rPr>
      <w:rFonts w:ascii="仿宋_GB2312" w:eastAsia="宋体" w:hAnsi="Times New Roman" w:cs="Times New Roman"/>
      <w:sz w:val="24"/>
      <w:szCs w:val="24"/>
    </w:rPr>
  </w:style>
  <w:style w:type="paragraph" w:styleId="a6">
    <w:name w:val="Date"/>
    <w:basedOn w:val="a"/>
    <w:next w:val="a"/>
    <w:link w:val="a7"/>
    <w:uiPriority w:val="99"/>
    <w:semiHidden/>
    <w:unhideWhenUsed/>
    <w:qFormat/>
    <w:pPr>
      <w:ind w:leftChars="2500" w:left="100"/>
    </w:pPr>
  </w:style>
  <w:style w:type="paragraph" w:styleId="a8">
    <w:name w:val="Balloon Text"/>
    <w:basedOn w:val="a"/>
    <w:link w:val="a9"/>
    <w:uiPriority w:val="99"/>
    <w:unhideWhenUsed/>
    <w:qFormat/>
    <w:rPr>
      <w:sz w:val="18"/>
      <w:szCs w:val="18"/>
    </w:rPr>
  </w:style>
  <w:style w:type="paragraph" w:styleId="aa">
    <w:name w:val="footer"/>
    <w:basedOn w:val="a"/>
    <w:link w:val="12"/>
    <w:uiPriority w:val="99"/>
    <w:unhideWhenUsed/>
    <w:qFormat/>
    <w:pPr>
      <w:tabs>
        <w:tab w:val="center" w:pos="4153"/>
        <w:tab w:val="right" w:pos="8306"/>
      </w:tabs>
      <w:snapToGrid w:val="0"/>
      <w:jc w:val="left"/>
    </w:pPr>
    <w:rPr>
      <w:sz w:val="18"/>
      <w:szCs w:val="18"/>
    </w:rPr>
  </w:style>
  <w:style w:type="paragraph" w:styleId="ab">
    <w:name w:val="header"/>
    <w:basedOn w:val="a"/>
    <w:link w:val="13"/>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3"/>
    <w:next w:val="a3"/>
    <w:link w:val="ae"/>
    <w:uiPriority w:val="99"/>
    <w:unhideWhenUsed/>
    <w:qFormat/>
    <w:rPr>
      <w:b/>
      <w:bCs/>
      <w:szCs w:val="24"/>
    </w:rPr>
  </w:style>
  <w:style w:type="table" w:styleId="af">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Hyperlink"/>
    <w:basedOn w:val="a0"/>
    <w:uiPriority w:val="99"/>
    <w:unhideWhenUsed/>
    <w:qFormat/>
    <w:rPr>
      <w:color w:val="0000FF" w:themeColor="hyperlink"/>
      <w:u w:val="single"/>
    </w:rPr>
  </w:style>
  <w:style w:type="character" w:styleId="af2">
    <w:name w:val="annotation reference"/>
    <w:uiPriority w:val="99"/>
    <w:unhideWhenUsed/>
    <w:qFormat/>
    <w:rPr>
      <w:sz w:val="21"/>
      <w:szCs w:val="21"/>
    </w:rPr>
  </w:style>
  <w:style w:type="character" w:customStyle="1" w:styleId="13">
    <w:name w:val="页眉 字符1"/>
    <w:basedOn w:val="a0"/>
    <w:link w:val="ab"/>
    <w:uiPriority w:val="99"/>
    <w:qFormat/>
    <w:rPr>
      <w:sz w:val="18"/>
      <w:szCs w:val="18"/>
    </w:rPr>
  </w:style>
  <w:style w:type="character" w:customStyle="1" w:styleId="12">
    <w:name w:val="页脚 字符1"/>
    <w:basedOn w:val="a0"/>
    <w:link w:val="aa"/>
    <w:uiPriority w:val="99"/>
    <w:qFormat/>
    <w:rPr>
      <w:sz w:val="18"/>
      <w:szCs w:val="18"/>
    </w:rPr>
  </w:style>
  <w:style w:type="character" w:customStyle="1" w:styleId="a7">
    <w:name w:val="日期 字符"/>
    <w:basedOn w:val="a0"/>
    <w:link w:val="a6"/>
    <w:qFormat/>
  </w:style>
  <w:style w:type="character" w:customStyle="1" w:styleId="1Char">
    <w:name w:val="标题 1 Char"/>
    <w:basedOn w:val="a0"/>
    <w:uiPriority w:val="9"/>
    <w:qFormat/>
    <w:rPr>
      <w:b/>
      <w:bCs/>
      <w:kern w:val="44"/>
      <w:sz w:val="44"/>
      <w:szCs w:val="44"/>
    </w:rPr>
  </w:style>
  <w:style w:type="character" w:customStyle="1" w:styleId="ae">
    <w:name w:val="批注主题 字符"/>
    <w:link w:val="ad"/>
    <w:uiPriority w:val="99"/>
    <w:qFormat/>
    <w:rPr>
      <w:b/>
      <w:bCs/>
      <w:szCs w:val="24"/>
    </w:rPr>
  </w:style>
  <w:style w:type="character" w:customStyle="1" w:styleId="af3">
    <w:name w:val="页眉 字符"/>
    <w:qFormat/>
    <w:rPr>
      <w:sz w:val="18"/>
      <w:szCs w:val="18"/>
    </w:rPr>
  </w:style>
  <w:style w:type="character" w:customStyle="1" w:styleId="af4">
    <w:name w:val="页脚 字符"/>
    <w:uiPriority w:val="99"/>
    <w:qFormat/>
    <w:rPr>
      <w:sz w:val="18"/>
      <w:szCs w:val="18"/>
    </w:rPr>
  </w:style>
  <w:style w:type="character" w:customStyle="1" w:styleId="10">
    <w:name w:val="标题 1 字符"/>
    <w:link w:val="1"/>
    <w:qFormat/>
    <w:rPr>
      <w:rFonts w:ascii="仿宋_GB2312" w:eastAsia="仿宋_GB2312" w:hAnsi="Times New Roman" w:cs="Times New Roman"/>
      <w:kern w:val="0"/>
      <w:sz w:val="28"/>
      <w:szCs w:val="20"/>
    </w:rPr>
  </w:style>
  <w:style w:type="character" w:customStyle="1" w:styleId="a9">
    <w:name w:val="批注框文本 字符"/>
    <w:link w:val="a8"/>
    <w:uiPriority w:val="99"/>
    <w:qFormat/>
    <w:rPr>
      <w:sz w:val="18"/>
      <w:szCs w:val="18"/>
    </w:rPr>
  </w:style>
  <w:style w:type="character" w:customStyle="1" w:styleId="af5">
    <w:name w:val="批注文字 字符"/>
    <w:uiPriority w:val="99"/>
    <w:semiHidden/>
    <w:qFormat/>
    <w:rPr>
      <w:kern w:val="2"/>
      <w:sz w:val="21"/>
      <w:szCs w:val="24"/>
    </w:rPr>
  </w:style>
  <w:style w:type="character" w:customStyle="1" w:styleId="font11">
    <w:name w:val="font11"/>
    <w:qFormat/>
    <w:rPr>
      <w:rFonts w:ascii="宋体" w:eastAsia="宋体" w:hAnsi="宋体" w:cs="宋体" w:hint="eastAsia"/>
      <w:b/>
      <w:color w:val="000000"/>
      <w:sz w:val="32"/>
      <w:szCs w:val="32"/>
      <w:u w:val="none"/>
    </w:rPr>
  </w:style>
  <w:style w:type="character" w:customStyle="1" w:styleId="11">
    <w:name w:val="批注文字 字符1"/>
    <w:basedOn w:val="a0"/>
    <w:link w:val="a3"/>
    <w:uiPriority w:val="99"/>
    <w:semiHidden/>
    <w:qFormat/>
  </w:style>
  <w:style w:type="character" w:customStyle="1" w:styleId="Char">
    <w:name w:val="批注主题 Char"/>
    <w:basedOn w:val="11"/>
    <w:uiPriority w:val="99"/>
    <w:semiHidden/>
    <w:qFormat/>
    <w:rPr>
      <w:b/>
      <w:bCs/>
    </w:rPr>
  </w:style>
  <w:style w:type="character" w:customStyle="1" w:styleId="Char0">
    <w:name w:val="批注框文本 Char"/>
    <w:basedOn w:val="a0"/>
    <w:uiPriority w:val="99"/>
    <w:semiHidden/>
    <w:qFormat/>
    <w:rPr>
      <w:sz w:val="18"/>
      <w:szCs w:val="18"/>
    </w:rPr>
  </w:style>
  <w:style w:type="paragraph" w:customStyle="1" w:styleId="14">
    <w:name w:val="日期1"/>
    <w:basedOn w:val="a"/>
    <w:next w:val="a"/>
    <w:qFormat/>
    <w:pPr>
      <w:ind w:leftChars="2500" w:left="100"/>
    </w:pPr>
    <w:rPr>
      <w:rFonts w:ascii="Times New Roman" w:eastAsia="宋体" w:hAnsi="Times New Roman" w:cs="Times New Roman"/>
      <w:szCs w:val="24"/>
    </w:rPr>
  </w:style>
  <w:style w:type="character" w:customStyle="1" w:styleId="a5">
    <w:name w:val="纯文本 字符"/>
    <w:basedOn w:val="a0"/>
    <w:link w:val="a4"/>
    <w:qFormat/>
    <w:rPr>
      <w:rFonts w:ascii="仿宋_GB2312" w:eastAsia="宋体" w:hAnsi="Times New Roman" w:cs="Times New Roman"/>
      <w:sz w:val="24"/>
      <w:szCs w:val="24"/>
    </w:rPr>
  </w:style>
  <w:style w:type="paragraph" w:customStyle="1" w:styleId="Char1">
    <w:name w:val="Char"/>
    <w:basedOn w:val="a"/>
    <w:qFormat/>
    <w:pPr>
      <w:tabs>
        <w:tab w:val="left" w:pos="425"/>
      </w:tabs>
      <w:ind w:left="425" w:hanging="425"/>
    </w:pPr>
    <w:rPr>
      <w:rFonts w:ascii="Times New Roman" w:eastAsia="宋体" w:hAnsi="Times New Roman" w:cs="Times New Roman"/>
      <w:szCs w:val="24"/>
    </w:rPr>
  </w:style>
  <w:style w:type="paragraph" w:customStyle="1" w:styleId="15">
    <w:name w:val="列出段落1"/>
    <w:basedOn w:val="a"/>
    <w:qFormat/>
    <w:pPr>
      <w:ind w:firstLineChars="200" w:firstLine="420"/>
    </w:pPr>
    <w:rPr>
      <w:rFonts w:ascii="Calibri" w:eastAsia="宋体" w:hAnsi="Calibri" w:cs="Times New Roman"/>
    </w:rPr>
  </w:style>
  <w:style w:type="paragraph" w:styleId="af6">
    <w:name w:val="List Paragraph"/>
    <w:basedOn w:val="a"/>
    <w:uiPriority w:val="34"/>
    <w:qFormat/>
    <w:pPr>
      <w:ind w:firstLineChars="200" w:firstLine="420"/>
    </w:pPr>
  </w:style>
  <w:style w:type="paragraph" w:customStyle="1" w:styleId="olistparagraph">
    <w:name w:val="olistparagraph"/>
    <w:basedOn w:val="a"/>
    <w:qFormat/>
    <w:pPr>
      <w:spacing w:before="100" w:beforeAutospacing="1" w:after="100" w:afterAutospacing="1"/>
      <w:jc w:val="left"/>
    </w:pPr>
    <w:rPr>
      <w:rFonts w:ascii="Calibri" w:eastAsia="宋体" w:hAnsi="Calibri" w:cs="Times New Roman"/>
      <w:kern w:val="0"/>
      <w:sz w:val="24"/>
      <w:szCs w:val="24"/>
    </w:rPr>
  </w:style>
  <w:style w:type="paragraph" w:customStyle="1" w:styleId="onormal">
    <w:name w:val="onormal"/>
    <w:basedOn w:val="a"/>
    <w:qFormat/>
    <w:pPr>
      <w:spacing w:before="100" w:beforeAutospacing="1" w:after="100" w:afterAutospacing="1"/>
      <w:jc w:val="left"/>
    </w:pPr>
    <w:rPr>
      <w:rFonts w:ascii="Calibri" w:eastAsia="宋体" w:hAnsi="Calibri" w:cs="Times New Roman"/>
      <w:kern w:val="0"/>
      <w:sz w:val="24"/>
      <w:szCs w:val="24"/>
    </w:rPr>
  </w:style>
  <w:style w:type="character" w:customStyle="1" w:styleId="Char10">
    <w:name w:val="纯文本 Char1"/>
    <w:qFormat/>
    <w:locked/>
    <w:rPr>
      <w:rFonts w:ascii="仿宋_GB2312" w:eastAsia="仿宋_GB2312" w:hAnsi="Calibri" w:hint="eastAsia"/>
      <w:kern w:val="2"/>
      <w:sz w:val="24"/>
      <w:szCs w:val="24"/>
    </w:rPr>
  </w:style>
  <w:style w:type="paragraph" w:customStyle="1" w:styleId="sonormal">
    <w:name w:val="sonormal"/>
    <w:basedOn w:val="a"/>
    <w:qFormat/>
    <w:pPr>
      <w:spacing w:before="100" w:beforeAutospacing="1" w:after="100" w:afterAutospacing="1"/>
      <w:jc w:val="left"/>
    </w:pPr>
    <w:rPr>
      <w:rFonts w:ascii="Calibri" w:eastAsia="宋体" w:hAnsi="Calibri"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79508">
      <w:bodyDiv w:val="1"/>
      <w:marLeft w:val="0"/>
      <w:marRight w:val="0"/>
      <w:marTop w:val="0"/>
      <w:marBottom w:val="0"/>
      <w:divBdr>
        <w:top w:val="none" w:sz="0" w:space="0" w:color="auto"/>
        <w:left w:val="none" w:sz="0" w:space="0" w:color="auto"/>
        <w:bottom w:val="none" w:sz="0" w:space="0" w:color="auto"/>
        <w:right w:val="none" w:sz="0" w:space="0" w:color="auto"/>
      </w:divBdr>
    </w:div>
    <w:div w:id="379211351">
      <w:bodyDiv w:val="1"/>
      <w:marLeft w:val="0"/>
      <w:marRight w:val="0"/>
      <w:marTop w:val="0"/>
      <w:marBottom w:val="0"/>
      <w:divBdr>
        <w:top w:val="none" w:sz="0" w:space="0" w:color="auto"/>
        <w:left w:val="none" w:sz="0" w:space="0" w:color="auto"/>
        <w:bottom w:val="none" w:sz="0" w:space="0" w:color="auto"/>
        <w:right w:val="none" w:sz="0" w:space="0" w:color="auto"/>
      </w:divBdr>
    </w:div>
    <w:div w:id="472065276">
      <w:bodyDiv w:val="1"/>
      <w:marLeft w:val="0"/>
      <w:marRight w:val="0"/>
      <w:marTop w:val="0"/>
      <w:marBottom w:val="0"/>
      <w:divBdr>
        <w:top w:val="none" w:sz="0" w:space="0" w:color="auto"/>
        <w:left w:val="none" w:sz="0" w:space="0" w:color="auto"/>
        <w:bottom w:val="none" w:sz="0" w:space="0" w:color="auto"/>
        <w:right w:val="none" w:sz="0" w:space="0" w:color="auto"/>
      </w:divBdr>
      <w:divsChild>
        <w:div w:id="492573815">
          <w:marLeft w:val="0"/>
          <w:marRight w:val="0"/>
          <w:marTop w:val="0"/>
          <w:marBottom w:val="0"/>
          <w:divBdr>
            <w:top w:val="none" w:sz="0" w:space="0" w:color="auto"/>
            <w:left w:val="none" w:sz="0" w:space="0" w:color="auto"/>
            <w:bottom w:val="none" w:sz="0" w:space="0" w:color="auto"/>
            <w:right w:val="none" w:sz="0" w:space="0" w:color="auto"/>
          </w:divBdr>
          <w:divsChild>
            <w:div w:id="132522134">
              <w:marLeft w:val="0"/>
              <w:marRight w:val="0"/>
              <w:marTop w:val="0"/>
              <w:marBottom w:val="0"/>
              <w:divBdr>
                <w:top w:val="none" w:sz="0" w:space="0" w:color="auto"/>
                <w:left w:val="none" w:sz="0" w:space="0" w:color="auto"/>
                <w:bottom w:val="none" w:sz="0" w:space="0" w:color="auto"/>
                <w:right w:val="none" w:sz="0" w:space="0" w:color="auto"/>
              </w:divBdr>
              <w:divsChild>
                <w:div w:id="496002549">
                  <w:marLeft w:val="0"/>
                  <w:marRight w:val="0"/>
                  <w:marTop w:val="0"/>
                  <w:marBottom w:val="0"/>
                  <w:divBdr>
                    <w:top w:val="none" w:sz="0" w:space="0" w:color="auto"/>
                    <w:left w:val="none" w:sz="0" w:space="0" w:color="auto"/>
                    <w:bottom w:val="none" w:sz="0" w:space="0" w:color="auto"/>
                    <w:right w:val="none" w:sz="0" w:space="0" w:color="auto"/>
                  </w:divBdr>
                  <w:divsChild>
                    <w:div w:id="855772075">
                      <w:marLeft w:val="0"/>
                      <w:marRight w:val="0"/>
                      <w:marTop w:val="0"/>
                      <w:marBottom w:val="0"/>
                      <w:divBdr>
                        <w:top w:val="none" w:sz="0" w:space="0" w:color="auto"/>
                        <w:left w:val="none" w:sz="0" w:space="0" w:color="auto"/>
                        <w:bottom w:val="none" w:sz="0" w:space="0" w:color="auto"/>
                        <w:right w:val="none" w:sz="0" w:space="0" w:color="auto"/>
                      </w:divBdr>
                      <w:divsChild>
                        <w:div w:id="238297205">
                          <w:marLeft w:val="0"/>
                          <w:marRight w:val="0"/>
                          <w:marTop w:val="0"/>
                          <w:marBottom w:val="0"/>
                          <w:divBdr>
                            <w:top w:val="none" w:sz="0" w:space="0" w:color="auto"/>
                            <w:left w:val="none" w:sz="0" w:space="0" w:color="auto"/>
                            <w:bottom w:val="none" w:sz="0" w:space="0" w:color="auto"/>
                            <w:right w:val="none" w:sz="0" w:space="0" w:color="auto"/>
                          </w:divBdr>
                          <w:divsChild>
                            <w:div w:id="1349676113">
                              <w:marLeft w:val="0"/>
                              <w:marRight w:val="0"/>
                              <w:marTop w:val="0"/>
                              <w:marBottom w:val="0"/>
                              <w:divBdr>
                                <w:top w:val="none" w:sz="0" w:space="0" w:color="auto"/>
                                <w:left w:val="none" w:sz="0" w:space="0" w:color="auto"/>
                                <w:bottom w:val="none" w:sz="0" w:space="0" w:color="auto"/>
                                <w:right w:val="none" w:sz="0" w:space="0" w:color="auto"/>
                              </w:divBdr>
                              <w:divsChild>
                                <w:div w:id="246888043">
                                  <w:marLeft w:val="0"/>
                                  <w:marRight w:val="0"/>
                                  <w:marTop w:val="0"/>
                                  <w:marBottom w:val="0"/>
                                  <w:divBdr>
                                    <w:top w:val="none" w:sz="0" w:space="0" w:color="auto"/>
                                    <w:left w:val="none" w:sz="0" w:space="0" w:color="auto"/>
                                    <w:bottom w:val="none" w:sz="0" w:space="0" w:color="auto"/>
                                    <w:right w:val="none" w:sz="0" w:space="0" w:color="auto"/>
                                  </w:divBdr>
                                  <w:divsChild>
                                    <w:div w:id="173568185">
                                      <w:marLeft w:val="0"/>
                                      <w:marRight w:val="0"/>
                                      <w:marTop w:val="0"/>
                                      <w:marBottom w:val="0"/>
                                      <w:divBdr>
                                        <w:top w:val="none" w:sz="0" w:space="0" w:color="auto"/>
                                        <w:left w:val="none" w:sz="0" w:space="0" w:color="auto"/>
                                        <w:bottom w:val="none" w:sz="0" w:space="0" w:color="auto"/>
                                        <w:right w:val="none" w:sz="0" w:space="0" w:color="auto"/>
                                      </w:divBdr>
                                      <w:divsChild>
                                        <w:div w:id="321936978">
                                          <w:marLeft w:val="0"/>
                                          <w:marRight w:val="0"/>
                                          <w:marTop w:val="0"/>
                                          <w:marBottom w:val="0"/>
                                          <w:divBdr>
                                            <w:top w:val="none" w:sz="0" w:space="0" w:color="auto"/>
                                            <w:left w:val="none" w:sz="0" w:space="0" w:color="auto"/>
                                            <w:bottom w:val="none" w:sz="0" w:space="0" w:color="auto"/>
                                            <w:right w:val="none" w:sz="0" w:space="0" w:color="auto"/>
                                          </w:divBdr>
                                          <w:divsChild>
                                            <w:div w:id="527526977">
                                              <w:marLeft w:val="0"/>
                                              <w:marRight w:val="0"/>
                                              <w:marTop w:val="0"/>
                                              <w:marBottom w:val="0"/>
                                              <w:divBdr>
                                                <w:top w:val="none" w:sz="0" w:space="0" w:color="auto"/>
                                                <w:left w:val="none" w:sz="0" w:space="0" w:color="auto"/>
                                                <w:bottom w:val="none" w:sz="0" w:space="0" w:color="auto"/>
                                                <w:right w:val="none" w:sz="0" w:space="0" w:color="auto"/>
                                              </w:divBdr>
                                              <w:divsChild>
                                                <w:div w:id="803815713">
                                                  <w:marLeft w:val="0"/>
                                                  <w:marRight w:val="0"/>
                                                  <w:marTop w:val="0"/>
                                                  <w:marBottom w:val="0"/>
                                                  <w:divBdr>
                                                    <w:top w:val="none" w:sz="0" w:space="0" w:color="auto"/>
                                                    <w:left w:val="none" w:sz="0" w:space="0" w:color="auto"/>
                                                    <w:bottom w:val="none" w:sz="0" w:space="0" w:color="auto"/>
                                                    <w:right w:val="none" w:sz="0" w:space="0" w:color="auto"/>
                                                  </w:divBdr>
                                                  <w:divsChild>
                                                    <w:div w:id="149706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7003301">
      <w:bodyDiv w:val="1"/>
      <w:marLeft w:val="0"/>
      <w:marRight w:val="0"/>
      <w:marTop w:val="0"/>
      <w:marBottom w:val="0"/>
      <w:divBdr>
        <w:top w:val="none" w:sz="0" w:space="0" w:color="auto"/>
        <w:left w:val="none" w:sz="0" w:space="0" w:color="auto"/>
        <w:bottom w:val="none" w:sz="0" w:space="0" w:color="auto"/>
        <w:right w:val="none" w:sz="0" w:space="0" w:color="auto"/>
      </w:divBdr>
    </w:div>
    <w:div w:id="1404838576">
      <w:bodyDiv w:val="1"/>
      <w:marLeft w:val="0"/>
      <w:marRight w:val="0"/>
      <w:marTop w:val="0"/>
      <w:marBottom w:val="0"/>
      <w:divBdr>
        <w:top w:val="none" w:sz="0" w:space="0" w:color="auto"/>
        <w:left w:val="none" w:sz="0" w:space="0" w:color="auto"/>
        <w:bottom w:val="none" w:sz="0" w:space="0" w:color="auto"/>
        <w:right w:val="none" w:sz="0" w:space="0" w:color="auto"/>
      </w:divBdr>
      <w:divsChild>
        <w:div w:id="373893378">
          <w:marLeft w:val="0"/>
          <w:marRight w:val="0"/>
          <w:marTop w:val="0"/>
          <w:marBottom w:val="0"/>
          <w:divBdr>
            <w:top w:val="none" w:sz="0" w:space="0" w:color="auto"/>
            <w:left w:val="none" w:sz="0" w:space="0" w:color="auto"/>
            <w:bottom w:val="none" w:sz="0" w:space="0" w:color="auto"/>
            <w:right w:val="none" w:sz="0" w:space="0" w:color="auto"/>
          </w:divBdr>
          <w:divsChild>
            <w:div w:id="1186334644">
              <w:marLeft w:val="0"/>
              <w:marRight w:val="0"/>
              <w:marTop w:val="0"/>
              <w:marBottom w:val="0"/>
              <w:divBdr>
                <w:top w:val="none" w:sz="0" w:space="0" w:color="auto"/>
                <w:left w:val="none" w:sz="0" w:space="0" w:color="auto"/>
                <w:bottom w:val="none" w:sz="0" w:space="0" w:color="auto"/>
                <w:right w:val="none" w:sz="0" w:space="0" w:color="auto"/>
              </w:divBdr>
              <w:divsChild>
                <w:div w:id="2097243402">
                  <w:marLeft w:val="0"/>
                  <w:marRight w:val="0"/>
                  <w:marTop w:val="0"/>
                  <w:marBottom w:val="0"/>
                  <w:divBdr>
                    <w:top w:val="none" w:sz="0" w:space="0" w:color="auto"/>
                    <w:left w:val="none" w:sz="0" w:space="0" w:color="auto"/>
                    <w:bottom w:val="none" w:sz="0" w:space="0" w:color="auto"/>
                    <w:right w:val="none" w:sz="0" w:space="0" w:color="auto"/>
                  </w:divBdr>
                  <w:divsChild>
                    <w:div w:id="1357462382">
                      <w:marLeft w:val="0"/>
                      <w:marRight w:val="0"/>
                      <w:marTop w:val="0"/>
                      <w:marBottom w:val="0"/>
                      <w:divBdr>
                        <w:top w:val="none" w:sz="0" w:space="0" w:color="auto"/>
                        <w:left w:val="none" w:sz="0" w:space="0" w:color="auto"/>
                        <w:bottom w:val="none" w:sz="0" w:space="0" w:color="auto"/>
                        <w:right w:val="none" w:sz="0" w:space="0" w:color="auto"/>
                      </w:divBdr>
                      <w:divsChild>
                        <w:div w:id="140006848">
                          <w:marLeft w:val="0"/>
                          <w:marRight w:val="0"/>
                          <w:marTop w:val="0"/>
                          <w:marBottom w:val="0"/>
                          <w:divBdr>
                            <w:top w:val="none" w:sz="0" w:space="0" w:color="auto"/>
                            <w:left w:val="none" w:sz="0" w:space="0" w:color="auto"/>
                            <w:bottom w:val="none" w:sz="0" w:space="0" w:color="auto"/>
                            <w:right w:val="none" w:sz="0" w:space="0" w:color="auto"/>
                          </w:divBdr>
                          <w:divsChild>
                            <w:div w:id="136847279">
                              <w:marLeft w:val="0"/>
                              <w:marRight w:val="0"/>
                              <w:marTop w:val="0"/>
                              <w:marBottom w:val="0"/>
                              <w:divBdr>
                                <w:top w:val="none" w:sz="0" w:space="0" w:color="auto"/>
                                <w:left w:val="none" w:sz="0" w:space="0" w:color="auto"/>
                                <w:bottom w:val="none" w:sz="0" w:space="0" w:color="auto"/>
                                <w:right w:val="none" w:sz="0" w:space="0" w:color="auto"/>
                              </w:divBdr>
                              <w:divsChild>
                                <w:div w:id="1083533296">
                                  <w:marLeft w:val="0"/>
                                  <w:marRight w:val="0"/>
                                  <w:marTop w:val="0"/>
                                  <w:marBottom w:val="0"/>
                                  <w:divBdr>
                                    <w:top w:val="none" w:sz="0" w:space="0" w:color="auto"/>
                                    <w:left w:val="none" w:sz="0" w:space="0" w:color="auto"/>
                                    <w:bottom w:val="none" w:sz="0" w:space="0" w:color="auto"/>
                                    <w:right w:val="none" w:sz="0" w:space="0" w:color="auto"/>
                                  </w:divBdr>
                                  <w:divsChild>
                                    <w:div w:id="1191457570">
                                      <w:marLeft w:val="0"/>
                                      <w:marRight w:val="0"/>
                                      <w:marTop w:val="0"/>
                                      <w:marBottom w:val="0"/>
                                      <w:divBdr>
                                        <w:top w:val="none" w:sz="0" w:space="0" w:color="auto"/>
                                        <w:left w:val="none" w:sz="0" w:space="0" w:color="auto"/>
                                        <w:bottom w:val="none" w:sz="0" w:space="0" w:color="auto"/>
                                        <w:right w:val="none" w:sz="0" w:space="0" w:color="auto"/>
                                      </w:divBdr>
                                      <w:divsChild>
                                        <w:div w:id="807406291">
                                          <w:marLeft w:val="0"/>
                                          <w:marRight w:val="0"/>
                                          <w:marTop w:val="0"/>
                                          <w:marBottom w:val="0"/>
                                          <w:divBdr>
                                            <w:top w:val="none" w:sz="0" w:space="0" w:color="auto"/>
                                            <w:left w:val="none" w:sz="0" w:space="0" w:color="auto"/>
                                            <w:bottom w:val="none" w:sz="0" w:space="0" w:color="auto"/>
                                            <w:right w:val="none" w:sz="0" w:space="0" w:color="auto"/>
                                          </w:divBdr>
                                          <w:divsChild>
                                            <w:div w:id="1678115434">
                                              <w:marLeft w:val="0"/>
                                              <w:marRight w:val="0"/>
                                              <w:marTop w:val="0"/>
                                              <w:marBottom w:val="0"/>
                                              <w:divBdr>
                                                <w:top w:val="none" w:sz="0" w:space="0" w:color="auto"/>
                                                <w:left w:val="none" w:sz="0" w:space="0" w:color="auto"/>
                                                <w:bottom w:val="none" w:sz="0" w:space="0" w:color="auto"/>
                                                <w:right w:val="none" w:sz="0" w:space="0" w:color="auto"/>
                                              </w:divBdr>
                                              <w:divsChild>
                                                <w:div w:id="1542747494">
                                                  <w:marLeft w:val="0"/>
                                                  <w:marRight w:val="0"/>
                                                  <w:marTop w:val="0"/>
                                                  <w:marBottom w:val="0"/>
                                                  <w:divBdr>
                                                    <w:top w:val="none" w:sz="0" w:space="0" w:color="auto"/>
                                                    <w:left w:val="none" w:sz="0" w:space="0" w:color="auto"/>
                                                    <w:bottom w:val="none" w:sz="0" w:space="0" w:color="auto"/>
                                                    <w:right w:val="none" w:sz="0" w:space="0" w:color="auto"/>
                                                  </w:divBdr>
                                                  <w:divsChild>
                                                    <w:div w:id="56834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9659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1954</Words>
  <Characters>2385</Characters>
  <Application>Microsoft Office Word</Application>
  <DocSecurity>0</DocSecurity>
  <Lines>238</Lines>
  <Paragraphs>228</Paragraphs>
  <ScaleCrop>false</ScaleCrop>
  <Company>hps</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宋莎莎</dc:creator>
  <cp:lastModifiedBy>HG005</cp:lastModifiedBy>
  <cp:revision>6</cp:revision>
  <cp:lastPrinted>2023-02-16T02:21:00Z</cp:lastPrinted>
  <dcterms:created xsi:type="dcterms:W3CDTF">2024-05-21T06:29:00Z</dcterms:created>
  <dcterms:modified xsi:type="dcterms:W3CDTF">2026-09-10T08:58:00Z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eyJoZGlkIjoiMzU0ZGY0ZGI0NTQ4YjM0NTVlYTYyZDhiNzcyMTZlYmYiLCJ1c2VySWQiOiIyNDI2MzUwOTgifQ==</vt:lpwstr>
  </property>
  <property fmtid="{D5CDD505-2E9C-101B-9397-08002B2CF9AE}" pid="3" name="KSOProductBuildVer">
    <vt:lpwstr>2052-12.1.0.28505</vt:lpwstr>
  </property>
  <property fmtid="{D5CDD505-2E9C-101B-9397-08002B2CF9AE}" pid="4" name="ICV">
    <vt:lpwstr>573FAA350DFA4916A3B80F12BF8704CE_12</vt:lpwstr>
  </property>
</Properties>
</file>