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94AA86">
      <w:pPr>
        <w:pStyle w:val="2"/>
        <w:rPr>
          <w:rFonts w:hint="eastAsia" w:ascii="宋体" w:hAnsi="宋体" w:eastAsia="宋体" w:cs="宋体"/>
          <w:b/>
          <w:bCs/>
          <w:sz w:val="36"/>
          <w:szCs w:val="36"/>
        </w:rPr>
      </w:pPr>
      <w:r>
        <w:rPr>
          <w:rFonts w:hint="eastAsia" w:ascii="Times New Roman" w:eastAsia="宋体"/>
          <w:b/>
          <w:bCs/>
          <w:sz w:val="36"/>
          <w:szCs w:val="36"/>
        </w:rPr>
        <w:t>202</w:t>
      </w:r>
      <w:r>
        <w:rPr>
          <w:rFonts w:hint="eastAsia" w:ascii="Times New Roman" w:eastAsia="宋体"/>
          <w:b/>
          <w:bCs/>
          <w:sz w:val="36"/>
          <w:szCs w:val="36"/>
          <w:lang w:val="en-US" w:eastAsia="zh-CN"/>
        </w:rPr>
        <w:t>6</w:t>
      </w:r>
      <w:r>
        <w:rPr>
          <w:rFonts w:hint="eastAsia" w:ascii="Times New Roman" w:eastAsia="宋体"/>
          <w:b/>
          <w:bCs/>
          <w:sz w:val="36"/>
          <w:szCs w:val="36"/>
        </w:rPr>
        <w:t>年自然资源科学技术奖</w:t>
      </w:r>
      <w:r>
        <w:rPr>
          <w:rFonts w:hint="eastAsia" w:ascii="宋体" w:hAnsi="宋体" w:eastAsia="宋体" w:cs="宋体"/>
          <w:b/>
          <w:bCs/>
          <w:sz w:val="36"/>
          <w:szCs w:val="36"/>
        </w:rPr>
        <w:t>公示表</w:t>
      </w:r>
    </w:p>
    <w:p w14:paraId="329BBD46">
      <w:pPr>
        <w:jc w:val="center"/>
        <w:rPr>
          <w:rFonts w:hint="eastAsia" w:eastAsia="宋体"/>
          <w:sz w:val="36"/>
          <w:szCs w:val="36"/>
          <w:lang w:eastAsia="zh-CN"/>
        </w:rPr>
      </w:pPr>
      <w:r>
        <w:rPr>
          <w:rFonts w:hint="eastAsia" w:ascii="宋体" w:hAnsi="宋体" w:eastAsia="宋体" w:cs="宋体"/>
          <w:b/>
          <w:bCs/>
          <w:sz w:val="36"/>
          <w:szCs w:val="36"/>
          <w:lang w:eastAsia="zh-CN"/>
        </w:rPr>
        <w:t>（青年科技奖）</w:t>
      </w:r>
    </w:p>
    <w:p w14:paraId="4203B428"/>
    <w:p w14:paraId="67C102F0"/>
    <w:tbl>
      <w:tblPr>
        <w:tblStyle w:val="11"/>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4"/>
        <w:gridCol w:w="2940"/>
        <w:gridCol w:w="945"/>
        <w:gridCol w:w="3335"/>
      </w:tblGrid>
      <w:tr w14:paraId="56A36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3" w:hRule="atLeast"/>
          <w:jc w:val="center"/>
        </w:trPr>
        <w:tc>
          <w:tcPr>
            <w:tcW w:w="2244" w:type="dxa"/>
            <w:vAlign w:val="center"/>
          </w:tcPr>
          <w:p w14:paraId="5C582970">
            <w:pPr>
              <w:adjustRightInd w:val="0"/>
              <w:snapToGrid w:val="0"/>
              <w:jc w:val="center"/>
              <w:rPr>
                <w:rFonts w:hint="eastAsia" w:ascii="仿宋" w:hAnsi="仿宋" w:eastAsia="仿宋"/>
                <w:b/>
                <w:bCs/>
                <w:lang w:eastAsia="zh-CN"/>
              </w:rPr>
            </w:pPr>
            <w:r>
              <w:rPr>
                <w:rFonts w:hint="eastAsia" w:ascii="仿宋" w:hAnsi="仿宋" w:eastAsia="仿宋"/>
                <w:b/>
                <w:bCs/>
                <w:lang w:eastAsia="zh-CN"/>
              </w:rPr>
              <w:t>被推荐人姓名</w:t>
            </w:r>
          </w:p>
        </w:tc>
        <w:tc>
          <w:tcPr>
            <w:tcW w:w="2940" w:type="dxa"/>
            <w:vAlign w:val="bottom"/>
          </w:tcPr>
          <w:p w14:paraId="490AD4DF">
            <w:pPr>
              <w:spacing w:line="360" w:lineRule="auto"/>
              <w:jc w:val="center"/>
              <w:rPr>
                <w:rFonts w:hint="eastAsia" w:ascii="仿宋" w:hAnsi="仿宋" w:eastAsia="仿宋"/>
                <w:bCs/>
                <w:lang w:val="en-US" w:eastAsia="zh-CN"/>
              </w:rPr>
            </w:pPr>
            <w:r>
              <w:rPr>
                <w:rFonts w:hint="eastAsia" w:ascii="仿宋" w:hAnsi="仿宋" w:eastAsia="仿宋"/>
                <w:bCs/>
                <w:lang w:val="en-US" w:eastAsia="zh-CN"/>
              </w:rPr>
              <w:t>燕发源</w:t>
            </w:r>
          </w:p>
        </w:tc>
        <w:tc>
          <w:tcPr>
            <w:tcW w:w="945" w:type="dxa"/>
            <w:vAlign w:val="bottom"/>
          </w:tcPr>
          <w:p w14:paraId="66081E58">
            <w:pPr>
              <w:spacing w:line="360" w:lineRule="auto"/>
              <w:jc w:val="center"/>
              <w:rPr>
                <w:rFonts w:hint="eastAsia" w:ascii="仿宋" w:hAnsi="仿宋" w:eastAsia="仿宋"/>
                <w:bCs/>
                <w:lang w:eastAsia="zh-CN"/>
              </w:rPr>
            </w:pPr>
            <w:r>
              <w:rPr>
                <w:rFonts w:hint="eastAsia" w:ascii="仿宋" w:hAnsi="仿宋" w:eastAsia="仿宋"/>
                <w:b/>
                <w:bCs w:val="0"/>
                <w:lang w:eastAsia="zh-CN"/>
              </w:rPr>
              <w:t>性别</w:t>
            </w:r>
          </w:p>
        </w:tc>
        <w:tc>
          <w:tcPr>
            <w:tcW w:w="3335" w:type="dxa"/>
            <w:vAlign w:val="bottom"/>
          </w:tcPr>
          <w:p w14:paraId="17A66A8C">
            <w:pPr>
              <w:spacing w:line="360" w:lineRule="auto"/>
              <w:jc w:val="center"/>
              <w:rPr>
                <w:rFonts w:hint="eastAsia" w:ascii="仿宋" w:hAnsi="仿宋" w:eastAsia="仿宋"/>
                <w:bCs/>
                <w:lang w:val="en-US" w:eastAsia="zh-CN"/>
              </w:rPr>
            </w:pPr>
            <w:r>
              <w:rPr>
                <w:rFonts w:hint="eastAsia" w:ascii="仿宋" w:hAnsi="仿宋" w:eastAsia="仿宋"/>
                <w:bCs/>
                <w:lang w:val="en-US" w:eastAsia="zh-CN"/>
              </w:rPr>
              <w:t>男</w:t>
            </w:r>
          </w:p>
        </w:tc>
      </w:tr>
      <w:tr w14:paraId="4D9BC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2244" w:type="dxa"/>
            <w:vAlign w:val="center"/>
          </w:tcPr>
          <w:p w14:paraId="4EC65C1E">
            <w:pPr>
              <w:adjustRightInd w:val="0"/>
              <w:snapToGrid w:val="0"/>
              <w:jc w:val="center"/>
              <w:rPr>
                <w:rFonts w:hint="eastAsia" w:ascii="仿宋" w:hAnsi="仿宋" w:eastAsia="仿宋"/>
                <w:b/>
                <w:bCs/>
                <w:lang w:eastAsia="zh-CN"/>
              </w:rPr>
            </w:pPr>
            <w:r>
              <w:rPr>
                <w:rFonts w:hint="eastAsia" w:ascii="仿宋" w:hAnsi="仿宋" w:eastAsia="仿宋"/>
                <w:b/>
                <w:bCs/>
                <w:lang w:eastAsia="zh-CN"/>
              </w:rPr>
              <w:t>出生年月</w:t>
            </w:r>
          </w:p>
        </w:tc>
        <w:tc>
          <w:tcPr>
            <w:tcW w:w="2940" w:type="dxa"/>
            <w:vAlign w:val="bottom"/>
          </w:tcPr>
          <w:p w14:paraId="4042D9F5">
            <w:pPr>
              <w:spacing w:line="360" w:lineRule="auto"/>
              <w:jc w:val="center"/>
              <w:rPr>
                <w:rFonts w:hint="default" w:ascii="仿宋" w:hAnsi="仿宋" w:eastAsia="仿宋"/>
                <w:bCs/>
                <w:lang w:val="en-US" w:eastAsia="zh-CN"/>
              </w:rPr>
            </w:pPr>
            <w:r>
              <w:rPr>
                <w:rFonts w:hint="eastAsia" w:ascii="仿宋" w:hAnsi="仿宋" w:eastAsia="仿宋"/>
                <w:bCs/>
                <w:lang w:val="en-US" w:eastAsia="zh-CN"/>
              </w:rPr>
              <w:t>1990.04</w:t>
            </w:r>
          </w:p>
        </w:tc>
        <w:tc>
          <w:tcPr>
            <w:tcW w:w="945" w:type="dxa"/>
            <w:vAlign w:val="bottom"/>
          </w:tcPr>
          <w:p w14:paraId="6E58A1E8">
            <w:pPr>
              <w:spacing w:line="360" w:lineRule="auto"/>
              <w:jc w:val="center"/>
              <w:rPr>
                <w:rFonts w:hint="eastAsia" w:ascii="仿宋" w:hAnsi="仿宋" w:eastAsia="仿宋"/>
                <w:bCs/>
                <w:lang w:eastAsia="zh-CN"/>
              </w:rPr>
            </w:pPr>
            <w:r>
              <w:rPr>
                <w:rFonts w:hint="eastAsia" w:ascii="仿宋" w:hAnsi="仿宋" w:eastAsia="仿宋"/>
                <w:b/>
                <w:bCs w:val="0"/>
                <w:lang w:eastAsia="zh-CN"/>
              </w:rPr>
              <w:t>党派</w:t>
            </w:r>
          </w:p>
        </w:tc>
        <w:tc>
          <w:tcPr>
            <w:tcW w:w="3335" w:type="dxa"/>
            <w:vAlign w:val="bottom"/>
          </w:tcPr>
          <w:p w14:paraId="50DCDCAF">
            <w:pPr>
              <w:spacing w:line="360" w:lineRule="auto"/>
              <w:jc w:val="center"/>
              <w:rPr>
                <w:rFonts w:hint="default" w:ascii="仿宋" w:hAnsi="仿宋" w:eastAsia="仿宋"/>
                <w:bCs/>
                <w:lang w:val="en-US" w:eastAsia="zh-CN"/>
              </w:rPr>
            </w:pPr>
            <w:r>
              <w:rPr>
                <w:rFonts w:hint="eastAsia" w:ascii="仿宋" w:hAnsi="仿宋" w:eastAsia="仿宋"/>
                <w:bCs/>
                <w:lang w:val="en-US" w:eastAsia="zh-CN"/>
              </w:rPr>
              <w:t>中共党员</w:t>
            </w:r>
          </w:p>
        </w:tc>
      </w:tr>
      <w:tr w14:paraId="38E37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2244" w:type="dxa"/>
            <w:vAlign w:val="center"/>
          </w:tcPr>
          <w:p w14:paraId="4DFF8ACA">
            <w:pPr>
              <w:adjustRightInd w:val="0"/>
              <w:snapToGrid w:val="0"/>
              <w:jc w:val="center"/>
              <w:rPr>
                <w:rFonts w:hint="eastAsia" w:ascii="仿宋" w:hAnsi="仿宋" w:eastAsia="仿宋"/>
                <w:b/>
                <w:bCs/>
                <w:lang w:eastAsia="zh-CN"/>
              </w:rPr>
            </w:pPr>
            <w:r>
              <w:rPr>
                <w:rFonts w:hint="eastAsia" w:ascii="仿宋" w:hAnsi="仿宋" w:eastAsia="仿宋"/>
                <w:b/>
                <w:bCs/>
                <w:lang w:eastAsia="zh-CN"/>
              </w:rPr>
              <w:t>单位及职务</w:t>
            </w:r>
          </w:p>
        </w:tc>
        <w:tc>
          <w:tcPr>
            <w:tcW w:w="7220" w:type="dxa"/>
            <w:gridSpan w:val="3"/>
            <w:vAlign w:val="bottom"/>
          </w:tcPr>
          <w:p w14:paraId="308BDE96">
            <w:pPr>
              <w:spacing w:line="360" w:lineRule="auto"/>
              <w:jc w:val="center"/>
              <w:rPr>
                <w:rFonts w:hint="default" w:ascii="仿宋" w:hAnsi="仿宋" w:eastAsia="仿宋"/>
                <w:bCs/>
                <w:lang w:val="en-US" w:eastAsia="zh-CN"/>
              </w:rPr>
            </w:pPr>
            <w:r>
              <w:rPr>
                <w:rFonts w:hint="eastAsia" w:ascii="仿宋" w:hAnsi="仿宋" w:eastAsia="仿宋"/>
                <w:bCs/>
                <w:lang w:val="en-US" w:eastAsia="zh-CN"/>
              </w:rPr>
              <w:t>清华大学水圈科学与水利工程全国重点实验室，无</w:t>
            </w:r>
          </w:p>
        </w:tc>
      </w:tr>
      <w:tr w14:paraId="4F8CD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2244" w:type="dxa"/>
            <w:vAlign w:val="center"/>
          </w:tcPr>
          <w:p w14:paraId="0E516FDB">
            <w:pPr>
              <w:adjustRightInd w:val="0"/>
              <w:snapToGrid w:val="0"/>
              <w:jc w:val="center"/>
              <w:rPr>
                <w:rFonts w:hint="eastAsia" w:ascii="仿宋" w:hAnsi="仿宋" w:eastAsia="仿宋"/>
                <w:b/>
                <w:bCs/>
                <w:lang w:eastAsia="zh-CN"/>
              </w:rPr>
            </w:pPr>
            <w:r>
              <w:rPr>
                <w:rFonts w:hint="eastAsia" w:ascii="仿宋" w:hAnsi="仿宋" w:eastAsia="仿宋"/>
                <w:b/>
                <w:bCs/>
                <w:lang w:eastAsia="zh-CN"/>
              </w:rPr>
              <w:t>专业、专长</w:t>
            </w:r>
          </w:p>
        </w:tc>
        <w:tc>
          <w:tcPr>
            <w:tcW w:w="7220" w:type="dxa"/>
            <w:gridSpan w:val="3"/>
            <w:vAlign w:val="bottom"/>
          </w:tcPr>
          <w:p w14:paraId="76A93506">
            <w:pPr>
              <w:spacing w:line="360" w:lineRule="auto"/>
              <w:jc w:val="center"/>
              <w:rPr>
                <w:rFonts w:hint="default" w:ascii="仿宋" w:hAnsi="仿宋" w:eastAsia="仿宋"/>
                <w:bCs/>
                <w:lang w:val="en-US" w:eastAsia="zh-CN"/>
              </w:rPr>
            </w:pPr>
            <w:r>
              <w:rPr>
                <w:rFonts w:hint="eastAsia" w:ascii="仿宋" w:hAnsi="仿宋" w:eastAsia="仿宋"/>
                <w:bCs/>
                <w:lang w:val="en-US" w:eastAsia="zh-CN"/>
              </w:rPr>
              <w:t>水工岩土，岩石力学</w:t>
            </w:r>
          </w:p>
        </w:tc>
      </w:tr>
      <w:tr w14:paraId="37E4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2244" w:type="dxa"/>
            <w:vAlign w:val="center"/>
          </w:tcPr>
          <w:p w14:paraId="13C79267">
            <w:pPr>
              <w:adjustRightInd w:val="0"/>
              <w:snapToGrid w:val="0"/>
              <w:jc w:val="center"/>
              <w:rPr>
                <w:rFonts w:hint="eastAsia" w:ascii="仿宋" w:hAnsi="仿宋" w:eastAsia="仿宋"/>
                <w:b/>
                <w:bCs/>
                <w:lang w:eastAsia="zh-CN"/>
              </w:rPr>
            </w:pPr>
            <w:r>
              <w:rPr>
                <w:rFonts w:hint="eastAsia" w:ascii="仿宋" w:hAnsi="仿宋" w:eastAsia="仿宋"/>
                <w:b/>
                <w:bCs/>
                <w:lang w:eastAsia="zh-CN"/>
              </w:rPr>
              <w:t>技术职称</w:t>
            </w:r>
          </w:p>
        </w:tc>
        <w:tc>
          <w:tcPr>
            <w:tcW w:w="7220" w:type="dxa"/>
            <w:gridSpan w:val="3"/>
            <w:vAlign w:val="bottom"/>
          </w:tcPr>
          <w:p w14:paraId="3792FA6F">
            <w:pPr>
              <w:spacing w:line="360" w:lineRule="auto"/>
              <w:jc w:val="center"/>
              <w:rPr>
                <w:rFonts w:hint="default" w:ascii="仿宋" w:hAnsi="仿宋" w:eastAsia="仿宋"/>
                <w:bCs/>
                <w:lang w:val="en-US" w:eastAsia="zh-CN"/>
              </w:rPr>
            </w:pPr>
            <w:r>
              <w:rPr>
                <w:rFonts w:hint="eastAsia" w:ascii="仿宋" w:hAnsi="仿宋" w:eastAsia="仿宋"/>
                <w:bCs/>
                <w:lang w:val="en-US" w:eastAsia="zh-CN"/>
              </w:rPr>
              <w:t>助理研究员</w:t>
            </w:r>
          </w:p>
        </w:tc>
      </w:tr>
      <w:tr w14:paraId="31C23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2244" w:type="dxa"/>
            <w:vAlign w:val="center"/>
          </w:tcPr>
          <w:p w14:paraId="116E565F">
            <w:pPr>
              <w:adjustRightInd w:val="0"/>
              <w:snapToGrid w:val="0"/>
              <w:jc w:val="center"/>
              <w:rPr>
                <w:rFonts w:hint="eastAsia" w:ascii="仿宋" w:hAnsi="仿宋" w:eastAsia="仿宋"/>
                <w:b/>
                <w:bCs/>
                <w:lang w:eastAsia="zh-CN"/>
              </w:rPr>
            </w:pPr>
            <w:r>
              <w:rPr>
                <w:rFonts w:hint="eastAsia" w:ascii="仿宋" w:hAnsi="仿宋" w:eastAsia="仿宋"/>
                <w:b/>
                <w:bCs/>
                <w:lang w:eastAsia="zh-CN"/>
              </w:rPr>
              <w:t>文化程度及最高学位</w:t>
            </w:r>
          </w:p>
        </w:tc>
        <w:tc>
          <w:tcPr>
            <w:tcW w:w="7220" w:type="dxa"/>
            <w:gridSpan w:val="3"/>
            <w:vAlign w:val="bottom"/>
          </w:tcPr>
          <w:p w14:paraId="637E9580">
            <w:pPr>
              <w:spacing w:line="360" w:lineRule="auto"/>
              <w:jc w:val="center"/>
              <w:rPr>
                <w:rFonts w:hint="default" w:ascii="仿宋" w:hAnsi="仿宋" w:eastAsia="仿宋"/>
                <w:bCs/>
                <w:lang w:val="en-US" w:eastAsia="zh-CN"/>
              </w:rPr>
            </w:pPr>
            <w:r>
              <w:rPr>
                <w:rFonts w:hint="eastAsia" w:ascii="仿宋" w:hAnsi="仿宋" w:eastAsia="仿宋"/>
                <w:bCs/>
                <w:lang w:val="en-US" w:eastAsia="zh-CN"/>
              </w:rPr>
              <w:t>博士学位</w:t>
            </w:r>
          </w:p>
        </w:tc>
      </w:tr>
      <w:tr w14:paraId="71CCA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2244" w:type="dxa"/>
            <w:vAlign w:val="center"/>
          </w:tcPr>
          <w:p w14:paraId="326D0F45">
            <w:pPr>
              <w:adjustRightInd w:val="0"/>
              <w:snapToGrid w:val="0"/>
              <w:jc w:val="center"/>
              <w:rPr>
                <w:rFonts w:ascii="仿宋" w:hAnsi="仿宋" w:eastAsia="仿宋"/>
                <w:b/>
                <w:bCs/>
              </w:rPr>
            </w:pPr>
            <w:r>
              <w:rPr>
                <w:rFonts w:hint="eastAsia" w:ascii="仿宋" w:hAnsi="仿宋" w:eastAsia="仿宋"/>
                <w:b/>
                <w:bCs/>
              </w:rPr>
              <w:t>申报奖项</w:t>
            </w:r>
          </w:p>
        </w:tc>
        <w:tc>
          <w:tcPr>
            <w:tcW w:w="7220" w:type="dxa"/>
            <w:gridSpan w:val="3"/>
            <w:vAlign w:val="bottom"/>
          </w:tcPr>
          <w:p w14:paraId="37D2D1AC">
            <w:pPr>
              <w:spacing w:line="360" w:lineRule="auto"/>
              <w:jc w:val="center"/>
              <w:rPr>
                <w:rFonts w:hint="default" w:ascii="仿宋" w:hAnsi="仿宋" w:eastAsia="仿宋"/>
                <w:bCs/>
                <w:lang w:val="en-US" w:eastAsia="zh-CN"/>
              </w:rPr>
            </w:pPr>
            <w:r>
              <w:rPr>
                <w:rFonts w:hint="eastAsia" w:ascii="仿宋" w:hAnsi="仿宋" w:eastAsia="仿宋"/>
                <w:bCs/>
                <w:lang w:val="en-US" w:eastAsia="zh-CN"/>
              </w:rPr>
              <w:t>自然资源青年科技奖</w:t>
            </w:r>
          </w:p>
        </w:tc>
      </w:tr>
      <w:tr w14:paraId="4939C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2244" w:type="dxa"/>
            <w:vAlign w:val="center"/>
          </w:tcPr>
          <w:p w14:paraId="3AE4F429">
            <w:pPr>
              <w:adjustRightInd w:val="0"/>
              <w:snapToGrid w:val="0"/>
              <w:jc w:val="center"/>
              <w:rPr>
                <w:rFonts w:ascii="仿宋" w:hAnsi="仿宋" w:eastAsia="仿宋"/>
                <w:b/>
                <w:bCs/>
              </w:rPr>
            </w:pPr>
            <w:r>
              <w:rPr>
                <w:rFonts w:hint="eastAsia" w:ascii="仿宋" w:hAnsi="仿宋" w:eastAsia="仿宋"/>
                <w:b/>
                <w:bCs/>
                <w:lang w:eastAsia="zh-CN"/>
              </w:rPr>
              <w:t>代表性成果</w:t>
            </w:r>
            <w:r>
              <w:rPr>
                <w:rFonts w:hint="eastAsia" w:ascii="仿宋" w:hAnsi="仿宋" w:eastAsia="仿宋"/>
                <w:b/>
                <w:bCs/>
              </w:rPr>
              <w:t>名称</w:t>
            </w:r>
          </w:p>
        </w:tc>
        <w:tc>
          <w:tcPr>
            <w:tcW w:w="7220" w:type="dxa"/>
            <w:gridSpan w:val="3"/>
            <w:vAlign w:val="center"/>
          </w:tcPr>
          <w:p w14:paraId="6BA37B1C">
            <w:pPr>
              <w:spacing w:line="360" w:lineRule="auto"/>
              <w:jc w:val="center"/>
              <w:rPr>
                <w:rFonts w:ascii="仿宋" w:hAnsi="仿宋" w:eastAsia="仿宋"/>
                <w:bCs/>
              </w:rPr>
            </w:pPr>
            <w:r>
              <w:rPr>
                <w:rFonts w:hint="eastAsia" w:ascii="仿宋_GB2312" w:hAnsi="仿宋_GB2312" w:eastAsia="仿宋_GB2312"/>
                <w:sz w:val="21"/>
                <w:szCs w:val="21"/>
                <w:lang w:eastAsia="zh-CN"/>
              </w:rPr>
              <w:t>红层地区软岩软化灾变多过程多尺度测试技术及自持易损性评价方法</w:t>
            </w:r>
          </w:p>
        </w:tc>
      </w:tr>
      <w:tr w14:paraId="55ACF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4" w:type="dxa"/>
            <w:vAlign w:val="center"/>
          </w:tcPr>
          <w:p w14:paraId="2D17B260">
            <w:pPr>
              <w:snapToGrid w:val="0"/>
              <w:jc w:val="center"/>
              <w:rPr>
                <w:rFonts w:ascii="仿宋" w:hAnsi="仿宋" w:eastAsia="仿宋"/>
              </w:rPr>
            </w:pPr>
            <w:r>
              <w:rPr>
                <w:rFonts w:hint="eastAsia" w:ascii="仿宋" w:hAnsi="仿宋" w:eastAsia="仿宋"/>
                <w:b/>
                <w:bCs/>
              </w:rPr>
              <w:t>主要完成单位</w:t>
            </w:r>
          </w:p>
        </w:tc>
        <w:tc>
          <w:tcPr>
            <w:tcW w:w="7220" w:type="dxa"/>
            <w:gridSpan w:val="3"/>
            <w:vAlign w:val="center"/>
          </w:tcPr>
          <w:p w14:paraId="7D272F99">
            <w:pPr>
              <w:spacing w:line="360" w:lineRule="auto"/>
              <w:jc w:val="center"/>
              <w:rPr>
                <w:rFonts w:hint="eastAsia" w:ascii="宋体" w:hAnsi="宋体" w:eastAsiaTheme="minorEastAsia"/>
                <w:szCs w:val="21"/>
                <w:lang w:val="en-US" w:eastAsia="zh-CN"/>
              </w:rPr>
            </w:pPr>
            <w:r>
              <w:rPr>
                <w:rFonts w:hint="eastAsia" w:ascii="仿宋" w:hAnsi="仿宋" w:eastAsia="仿宋"/>
                <w:bCs/>
                <w:lang w:val="en-US" w:eastAsia="zh-CN"/>
              </w:rPr>
              <w:t>清华大学</w:t>
            </w:r>
          </w:p>
        </w:tc>
      </w:tr>
      <w:tr w14:paraId="04299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4" w:type="dxa"/>
            <w:vAlign w:val="center"/>
          </w:tcPr>
          <w:p w14:paraId="3E87D355">
            <w:pPr>
              <w:snapToGrid w:val="0"/>
              <w:jc w:val="center"/>
              <w:rPr>
                <w:rFonts w:ascii="仿宋" w:hAnsi="仿宋" w:eastAsia="仿宋"/>
                <w:b/>
                <w:bCs/>
              </w:rPr>
            </w:pPr>
            <w:r>
              <w:rPr>
                <w:rFonts w:hint="eastAsia" w:ascii="仿宋" w:hAnsi="仿宋" w:eastAsia="仿宋"/>
                <w:b/>
                <w:bCs/>
              </w:rPr>
              <w:t>主要完成人</w:t>
            </w:r>
          </w:p>
        </w:tc>
        <w:tc>
          <w:tcPr>
            <w:tcW w:w="7220" w:type="dxa"/>
            <w:gridSpan w:val="3"/>
            <w:vAlign w:val="center"/>
          </w:tcPr>
          <w:p w14:paraId="79406841">
            <w:pPr>
              <w:spacing w:line="360" w:lineRule="auto"/>
              <w:jc w:val="center"/>
              <w:rPr>
                <w:rFonts w:hint="default" w:ascii="仿宋" w:hAnsi="仿宋" w:eastAsia="仿宋"/>
                <w:bCs/>
                <w:lang w:val="en-US" w:eastAsia="zh-CN"/>
              </w:rPr>
            </w:pPr>
            <w:r>
              <w:rPr>
                <w:rFonts w:hint="eastAsia" w:ascii="仿宋" w:hAnsi="仿宋" w:eastAsia="仿宋"/>
                <w:bCs/>
                <w:lang w:val="en-US" w:eastAsia="zh-CN"/>
              </w:rPr>
              <w:t>王恩志，刘晓丽，燕发源</w:t>
            </w:r>
          </w:p>
        </w:tc>
      </w:tr>
      <w:tr w14:paraId="68119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5" w:hRule="atLeast"/>
          <w:jc w:val="center"/>
        </w:trPr>
        <w:tc>
          <w:tcPr>
            <w:tcW w:w="2244" w:type="dxa"/>
            <w:vAlign w:val="center"/>
          </w:tcPr>
          <w:p w14:paraId="0218F1EC">
            <w:pPr>
              <w:snapToGrid w:val="0"/>
              <w:jc w:val="center"/>
              <w:rPr>
                <w:rFonts w:ascii="仿宋" w:hAnsi="仿宋" w:eastAsia="仿宋"/>
                <w:b/>
                <w:bCs/>
              </w:rPr>
            </w:pPr>
            <w:r>
              <w:rPr>
                <w:rFonts w:ascii="仿宋" w:hAnsi="仿宋" w:eastAsia="仿宋"/>
                <w:b/>
                <w:bCs/>
              </w:rPr>
              <w:t>推荐意见</w:t>
            </w:r>
          </w:p>
        </w:tc>
        <w:tc>
          <w:tcPr>
            <w:tcW w:w="7220" w:type="dxa"/>
            <w:gridSpan w:val="3"/>
            <w:vAlign w:val="center"/>
          </w:tcPr>
          <w:p w14:paraId="554B6DEB">
            <w:pPr>
              <w:spacing w:line="400" w:lineRule="exact"/>
              <w:ind w:firstLine="420" w:firstLineChars="200"/>
              <w:rPr>
                <w:rFonts w:ascii="宋体" w:hAnsi="宋体"/>
                <w:szCs w:val="21"/>
              </w:rPr>
            </w:pPr>
            <w:r>
              <w:rPr>
                <w:rFonts w:hint="eastAsia" w:ascii="仿宋" w:hAnsi="仿宋" w:eastAsia="仿宋"/>
                <w:lang w:eastAsia="zh-CN"/>
              </w:rPr>
              <w:t>燕发源长期从事水工岩土与岩石力学领域的科研工作，在红层软岩软化灾变机理与防治技术方面取得了系统性创新成果。先后参与发表多篇学术论文，参与申请多项发明专利，研究成果在多项重大工程中得到应用，取得了显著的社会经济效益。</w:t>
            </w:r>
          </w:p>
          <w:p w14:paraId="554B6DEC">
            <w:pPr>
              <w:spacing w:line="400" w:lineRule="exact"/>
              <w:ind w:firstLine="420" w:firstLineChars="200"/>
              <w:rPr>
                <w:rFonts w:ascii="宋体" w:hAnsi="宋体"/>
                <w:szCs w:val="21"/>
              </w:rPr>
            </w:pPr>
            <w:r>
              <w:rPr>
                <w:rFonts w:hint="eastAsia" w:ascii="仿宋" w:hAnsi="仿宋" w:eastAsia="仿宋"/>
                <w:lang w:eastAsia="zh-CN"/>
              </w:rPr>
              <w:t>同意推荐其申报自然资源青年科技奖。</w:t>
            </w:r>
          </w:p>
        </w:tc>
      </w:tr>
      <w:tr w14:paraId="69F59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6" w:hRule="atLeast"/>
          <w:jc w:val="center"/>
        </w:trPr>
        <w:tc>
          <w:tcPr>
            <w:tcW w:w="2244" w:type="dxa"/>
            <w:vAlign w:val="center"/>
          </w:tcPr>
          <w:p w14:paraId="79B28928">
            <w:pPr>
              <w:snapToGrid w:val="0"/>
              <w:jc w:val="center"/>
              <w:rPr>
                <w:rFonts w:ascii="仿宋" w:hAnsi="仿宋" w:eastAsia="仿宋"/>
                <w:b/>
                <w:bCs/>
              </w:rPr>
            </w:pPr>
            <w:r>
              <w:rPr>
                <w:rFonts w:ascii="仿宋" w:hAnsi="仿宋" w:eastAsia="仿宋"/>
                <w:b/>
                <w:bCs/>
              </w:rPr>
              <w:t>成果简介</w:t>
            </w:r>
          </w:p>
        </w:tc>
        <w:tc>
          <w:tcPr>
            <w:tcW w:w="7220" w:type="dxa"/>
            <w:gridSpan w:val="3"/>
            <w:vAlign w:val="center"/>
          </w:tcPr>
          <w:p w14:paraId="264081EB">
            <w:pPr>
              <w:spacing w:line="400" w:lineRule="exact"/>
              <w:ind w:firstLine="420" w:firstLineChars="200"/>
              <w:rPr>
                <w:rFonts w:ascii="仿宋" w:hAnsi="仿宋" w:eastAsia="仿宋"/>
              </w:rPr>
            </w:pPr>
            <w:r>
              <w:rPr>
                <w:rFonts w:hint="eastAsia" w:ascii="仿宋" w:hAnsi="仿宋" w:eastAsia="仿宋"/>
                <w:lang w:eastAsia="zh-CN"/>
              </w:rPr>
              <w:t>项目突破了目前国内外研究只聚焦单一过程和尺度的思路，建立了从红层软岩软化微观机理到地质体宏观灾变的损伤特征指标体系，研发了涵盖“水-岩耦合、工程扰动、动荷载”三过程及“细观矿物、室内试样、结构模型、现场工程实体”四尺度的红层地区地质体测试技术。首次建立了多场多过程条件下红层软岩自持-损伤-破坏全过程演化模型及灾变理论，利用统计力学非平衡热力学理论，揭示了红层软岩自持-易损特性的非平衡热力学本质，提出了红层软岩自持-易损特性评价方法。</w:t>
            </w:r>
          </w:p>
          <w:p w14:paraId="264081EC">
            <w:pPr>
              <w:spacing w:line="400" w:lineRule="exact"/>
              <w:ind w:firstLine="420" w:firstLineChars="200"/>
              <w:rPr>
                <w:rFonts w:ascii="仿宋" w:hAnsi="仿宋" w:eastAsia="仿宋"/>
              </w:rPr>
            </w:pPr>
            <w:r>
              <w:rPr>
                <w:rFonts w:hint="eastAsia" w:ascii="仿宋" w:hAnsi="仿宋" w:eastAsia="仿宋"/>
                <w:lang w:eastAsia="zh-CN"/>
              </w:rPr>
              <w:t>项目共发表</w:t>
            </w:r>
            <w:r>
              <w:rPr>
                <w:rFonts w:hint="eastAsia" w:ascii="仿宋" w:hAnsi="仿宋" w:eastAsia="仿宋"/>
                <w:lang w:val="en-US" w:eastAsia="zh-CN"/>
              </w:rPr>
              <w:t>高水平</w:t>
            </w:r>
            <w:r>
              <w:rPr>
                <w:rFonts w:hint="eastAsia" w:ascii="仿宋" w:hAnsi="仿宋" w:eastAsia="仿宋"/>
                <w:lang w:eastAsia="zh-CN"/>
              </w:rPr>
              <w:t>论文</w:t>
            </w:r>
            <w:r>
              <w:rPr>
                <w:rFonts w:hint="eastAsia" w:ascii="仿宋" w:hAnsi="仿宋" w:eastAsia="仿宋"/>
                <w:lang w:val="en-US" w:eastAsia="zh-CN"/>
              </w:rPr>
              <w:t>6</w:t>
            </w:r>
            <w:r>
              <w:rPr>
                <w:rFonts w:hint="eastAsia" w:ascii="仿宋" w:hAnsi="仿宋" w:eastAsia="仿宋"/>
                <w:lang w:eastAsia="zh-CN"/>
              </w:rPr>
              <w:t>篇，申请发明专利</w:t>
            </w:r>
            <w:r>
              <w:rPr>
                <w:rFonts w:hint="eastAsia" w:ascii="仿宋" w:hAnsi="仿宋" w:eastAsia="仿宋"/>
                <w:lang w:val="en-US" w:eastAsia="zh-CN"/>
              </w:rPr>
              <w:t>3</w:t>
            </w:r>
            <w:r>
              <w:rPr>
                <w:rFonts w:hint="eastAsia" w:ascii="仿宋" w:hAnsi="仿宋" w:eastAsia="仿宋"/>
                <w:lang w:eastAsia="zh-CN"/>
              </w:rPr>
              <w:t>项（其中授权</w:t>
            </w:r>
            <w:r>
              <w:rPr>
                <w:rFonts w:hint="eastAsia" w:ascii="仿宋" w:hAnsi="仿宋" w:eastAsia="仿宋"/>
                <w:lang w:val="en-US" w:eastAsia="zh-CN"/>
              </w:rPr>
              <w:t>2</w:t>
            </w:r>
            <w:r>
              <w:rPr>
                <w:rFonts w:hint="eastAsia" w:ascii="仿宋" w:hAnsi="仿宋" w:eastAsia="仿宋"/>
                <w:lang w:eastAsia="zh-CN"/>
              </w:rPr>
              <w:t>项），</w:t>
            </w:r>
            <w:r>
              <w:rPr>
                <w:rFonts w:hint="eastAsia" w:ascii="仿宋" w:hAnsi="仿宋" w:eastAsia="仿宋"/>
                <w:lang w:val="en-US" w:eastAsia="zh-CN"/>
              </w:rPr>
              <w:t>软著1项</w:t>
            </w:r>
            <w:r>
              <w:rPr>
                <w:rFonts w:hint="eastAsia" w:ascii="仿宋" w:hAnsi="仿宋" w:eastAsia="仿宋"/>
                <w:lang w:eastAsia="zh-CN"/>
              </w:rPr>
              <w:t>。项目于2022年通过国家重点研发计划综合绩效评价。为红层地区地质灾害防治提供了重要理论支撑和技术保障，取得了显著的社会经济效益。</w:t>
            </w:r>
          </w:p>
        </w:tc>
      </w:tr>
      <w:tr w14:paraId="73B58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9" w:hRule="atLeast"/>
          <w:jc w:val="center"/>
        </w:trPr>
        <w:tc>
          <w:tcPr>
            <w:tcW w:w="2244" w:type="dxa"/>
            <w:vAlign w:val="center"/>
          </w:tcPr>
          <w:p w14:paraId="248F21D6">
            <w:pPr>
              <w:snapToGrid w:val="0"/>
              <w:jc w:val="center"/>
              <w:rPr>
                <w:rFonts w:ascii="仿宋" w:hAnsi="仿宋" w:eastAsia="仿宋"/>
                <w:b/>
                <w:bCs/>
              </w:rPr>
            </w:pPr>
            <w:r>
              <w:rPr>
                <w:rFonts w:ascii="仿宋" w:hAnsi="仿宋" w:eastAsia="仿宋"/>
                <w:b/>
                <w:bCs/>
              </w:rPr>
              <w:t>客观评价</w:t>
            </w:r>
          </w:p>
        </w:tc>
        <w:tc>
          <w:tcPr>
            <w:tcW w:w="7220" w:type="dxa"/>
            <w:gridSpan w:val="3"/>
            <w:vAlign w:val="center"/>
          </w:tcPr>
          <w:p w14:paraId="201148D6">
            <w:pPr>
              <w:spacing w:line="400" w:lineRule="exact"/>
              <w:ind w:firstLine="420" w:firstLineChars="200"/>
              <w:rPr>
                <w:rFonts w:ascii="仿宋" w:hAnsi="仿宋" w:eastAsia="仿宋"/>
              </w:rPr>
            </w:pPr>
            <w:r>
              <w:rPr>
                <w:rFonts w:hint="eastAsia" w:ascii="仿宋" w:hAnsi="仿宋" w:eastAsia="仿宋"/>
                <w:lang w:eastAsia="zh-CN"/>
              </w:rPr>
              <w:t>1. 项目验收评价：2022年7月，国家重点研发计划“红层地区典型地质灾害失稳机理与新型防治方法技术研究”项目通过综合绩效评价，专家组认为项目完成了全部考核指标，达到预期目标，项目总评分86分，课题二（红层地区软岩软化灾变多过程多尺度测试技术及自持-易损性评价方法）评分88分，绩效等级为合格。</w:t>
            </w:r>
          </w:p>
          <w:p w14:paraId="201148D7">
            <w:pPr>
              <w:spacing w:line="400" w:lineRule="exact"/>
              <w:ind w:firstLine="420" w:firstLineChars="200"/>
              <w:rPr>
                <w:rFonts w:ascii="仿宋" w:hAnsi="仿宋" w:eastAsia="仿宋"/>
              </w:rPr>
            </w:pPr>
            <w:r>
              <w:rPr>
                <w:rFonts w:hint="eastAsia" w:ascii="仿宋" w:hAnsi="仿宋" w:eastAsia="仿宋"/>
                <w:lang w:eastAsia="zh-CN"/>
              </w:rPr>
              <w:t>2. 理论创新：首次提出了“界面胶结连接结构（ICB）”模型，推导了定量表达式；建立了“松弛劣化→水敏劣化”耦合作用强度衰减模型；构建了红层软岩软化灾变三过程-四尺度关联测试技术体系，填补了红层软岩多过程多尺度测试领域的空白。提出的红层软岩自持-易损性评价方法物理意义明确，以不平衡力作为易损指标，可直接与工程岩体所需加固力相结合，为地质灾害防治提供了新的理论工具。</w:t>
            </w:r>
          </w:p>
          <w:p w14:paraId="201148D8">
            <w:pPr>
              <w:spacing w:line="400" w:lineRule="exact"/>
              <w:ind w:firstLine="420" w:firstLineChars="200"/>
              <w:rPr>
                <w:rFonts w:ascii="仿宋" w:hAnsi="仿宋" w:eastAsia="仿宋"/>
              </w:rPr>
            </w:pPr>
            <w:r>
              <w:rPr>
                <w:rFonts w:hint="eastAsia" w:ascii="仿宋" w:hAnsi="仿宋" w:eastAsia="仿宋"/>
                <w:lang w:eastAsia="zh-CN"/>
              </w:rPr>
              <w:t>3. 应用成效：研究成果已在西南地区多项铁路、公路重大工程中得到应用，有效指导了红层地区地质灾害的监测预警和防治工程设计，为保障工程安全运营、降低地质灾害风险发挥了重要作用，取得了显著的社会效益和经济效益。</w:t>
            </w:r>
          </w:p>
        </w:tc>
      </w:tr>
      <w:tr w14:paraId="34E23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4" w:type="dxa"/>
            <w:vMerge w:val="restart"/>
            <w:vAlign w:val="center"/>
          </w:tcPr>
          <w:p w14:paraId="51AAA415">
            <w:pPr>
              <w:snapToGrid w:val="0"/>
              <w:jc w:val="center"/>
              <w:rPr>
                <w:rFonts w:ascii="仿宋" w:hAnsi="仿宋" w:eastAsia="仿宋"/>
                <w:b/>
                <w:bCs/>
              </w:rPr>
            </w:pPr>
            <w:r>
              <w:rPr>
                <w:rFonts w:ascii="仿宋" w:hAnsi="仿宋" w:eastAsia="仿宋"/>
                <w:b/>
                <w:bCs/>
              </w:rPr>
              <w:t>主要知识产权目录</w:t>
            </w:r>
          </w:p>
        </w:tc>
        <w:tc>
          <w:tcPr>
            <w:tcW w:w="7220" w:type="dxa"/>
            <w:gridSpan w:val="3"/>
            <w:vAlign w:val="center"/>
          </w:tcPr>
          <w:p w14:paraId="74A4255D">
            <w:pPr>
              <w:spacing w:line="320" w:lineRule="exact"/>
              <w:rPr>
                <w:rFonts w:hint="eastAsia" w:ascii="宋体" w:eastAsia="仿宋"/>
                <w:color w:val="000000"/>
                <w:sz w:val="21"/>
                <w:szCs w:val="21"/>
                <w:lang w:val="en-US" w:eastAsia="zh-CN"/>
              </w:rPr>
            </w:pPr>
            <w:r>
              <w:rPr>
                <w:rFonts w:ascii="Times New Roman" w:hAnsi="Times New Roman" w:eastAsia="仿宋"/>
                <w:sz w:val="21"/>
              </w:rPr>
              <w:t>ZL202311809228.0</w:t>
            </w:r>
            <w:r>
              <w:rPr>
                <w:rFonts w:hint="eastAsia" w:ascii="Times New Roman" w:hAnsi="Times New Roman" w:eastAsia="仿宋"/>
                <w:sz w:val="21"/>
                <w:lang w:val="en-US" w:eastAsia="zh-CN"/>
              </w:rPr>
              <w:t xml:space="preserve"> </w:t>
            </w:r>
            <w:r>
              <w:rPr>
                <w:rFonts w:ascii="Times New Roman" w:hAnsi="Times New Roman" w:eastAsia="仿宋"/>
                <w:sz w:val="21"/>
              </w:rPr>
              <w:t>岩体结构网络连通指数确定方法、装置和设备</w:t>
            </w:r>
          </w:p>
        </w:tc>
      </w:tr>
      <w:tr w14:paraId="73E5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4" w:type="dxa"/>
            <w:vMerge w:val="continue"/>
            <w:vAlign w:val="center"/>
          </w:tcPr>
          <w:p w14:paraId="4361B882">
            <w:pPr>
              <w:snapToGrid w:val="0"/>
              <w:jc w:val="center"/>
              <w:rPr>
                <w:rFonts w:ascii="仿宋" w:hAnsi="仿宋" w:eastAsia="仿宋"/>
                <w:b/>
                <w:bCs/>
              </w:rPr>
            </w:pPr>
          </w:p>
        </w:tc>
        <w:tc>
          <w:tcPr>
            <w:tcW w:w="7220" w:type="dxa"/>
            <w:gridSpan w:val="3"/>
            <w:vAlign w:val="center"/>
          </w:tcPr>
          <w:p w14:paraId="0579CC63">
            <w:pPr>
              <w:spacing w:line="320" w:lineRule="exact"/>
              <w:rPr>
                <w:rFonts w:hint="eastAsia" w:ascii="宋体" w:eastAsia="仿宋"/>
                <w:color w:val="000000"/>
                <w:sz w:val="21"/>
                <w:szCs w:val="21"/>
                <w:lang w:val="en-US" w:eastAsia="zh-CN"/>
              </w:rPr>
            </w:pPr>
            <w:r>
              <w:rPr>
                <w:rFonts w:ascii="Times New Roman" w:hAnsi="Times New Roman" w:eastAsia="仿宋"/>
                <w:sz w:val="21"/>
              </w:rPr>
              <w:t>ZL202410843986.2</w:t>
            </w:r>
            <w:r>
              <w:rPr>
                <w:rFonts w:hint="eastAsia" w:ascii="Times New Roman" w:hAnsi="Times New Roman" w:eastAsia="仿宋"/>
                <w:sz w:val="21"/>
                <w:lang w:val="en-US" w:eastAsia="zh-CN"/>
              </w:rPr>
              <w:t xml:space="preserve"> </w:t>
            </w:r>
            <w:r>
              <w:rPr>
                <w:rFonts w:ascii="Times New Roman" w:hAnsi="Times New Roman" w:eastAsia="仿宋"/>
                <w:sz w:val="21"/>
              </w:rPr>
              <w:t>一种用于堵口的快速组装投放装置及投放方法</w:t>
            </w:r>
          </w:p>
        </w:tc>
      </w:tr>
      <w:tr w14:paraId="65AF3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4" w:type="dxa"/>
            <w:vMerge w:val="continue"/>
            <w:vAlign w:val="center"/>
          </w:tcPr>
          <w:p w14:paraId="4D67000D">
            <w:pPr>
              <w:snapToGrid w:val="0"/>
              <w:jc w:val="center"/>
              <w:rPr>
                <w:rFonts w:ascii="仿宋" w:hAnsi="仿宋" w:eastAsia="仿宋"/>
                <w:b/>
                <w:bCs/>
              </w:rPr>
            </w:pPr>
          </w:p>
        </w:tc>
        <w:tc>
          <w:tcPr>
            <w:tcW w:w="7220" w:type="dxa"/>
            <w:gridSpan w:val="3"/>
            <w:vAlign w:val="center"/>
          </w:tcPr>
          <w:p w14:paraId="7A44A225">
            <w:pPr>
              <w:spacing w:line="320" w:lineRule="exact"/>
              <w:rPr>
                <w:rFonts w:hint="default" w:ascii="宋体"/>
                <w:color w:val="000000"/>
                <w:sz w:val="21"/>
                <w:szCs w:val="21"/>
                <w:lang w:val="en-US"/>
              </w:rPr>
            </w:pPr>
          </w:p>
        </w:tc>
      </w:tr>
      <w:tr w14:paraId="19B3D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4" w:type="dxa"/>
            <w:vMerge w:val="continue"/>
            <w:vAlign w:val="center"/>
          </w:tcPr>
          <w:p w14:paraId="6049A8BD">
            <w:pPr>
              <w:snapToGrid w:val="0"/>
              <w:jc w:val="center"/>
              <w:rPr>
                <w:rFonts w:ascii="仿宋" w:hAnsi="仿宋" w:eastAsia="仿宋"/>
                <w:b/>
                <w:bCs/>
              </w:rPr>
            </w:pPr>
          </w:p>
        </w:tc>
        <w:tc>
          <w:tcPr>
            <w:tcW w:w="7220" w:type="dxa"/>
            <w:gridSpan w:val="3"/>
            <w:vAlign w:val="center"/>
          </w:tcPr>
          <w:p w14:paraId="464A5325">
            <w:pPr>
              <w:spacing w:line="320" w:lineRule="exact"/>
              <w:rPr>
                <w:rFonts w:hint="default" w:ascii="宋体"/>
                <w:color w:val="000000"/>
                <w:sz w:val="21"/>
                <w:szCs w:val="21"/>
                <w:lang w:val="en-US"/>
              </w:rPr>
            </w:pPr>
          </w:p>
        </w:tc>
      </w:tr>
    </w:tbl>
    <w:p w14:paraId="2ACB2CAC">
      <w:pPr>
        <w:widowControl/>
        <w:jc w:val="left"/>
        <w:rPr>
          <w:rFonts w:ascii="仿宋" w:hAnsi="仿宋" w:eastAsia="仿宋" w:cs="Times New Roman"/>
          <w:sz w:val="32"/>
          <w:szCs w:val="32"/>
        </w:rPr>
      </w:pPr>
      <w:bookmarkStart w:id="0" w:name="_GoBack"/>
      <w:bookmarkEnd w:id="0"/>
    </w:p>
    <w:sectPr>
      <w:footerReference r:id="rId3" w:type="default"/>
      <w:pgSz w:w="11906" w:h="16838"/>
      <w:pgMar w:top="1985" w:right="1134" w:bottom="1440" w:left="1701"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E5899">
    <w:pPr>
      <w:pStyle w:val="7"/>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34035" cy="384175"/>
              <wp:effectExtent l="0" t="0" r="0" b="9525"/>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34035" cy="384175"/>
                      </a:xfrm>
                      <a:prstGeom prst="rect">
                        <a:avLst/>
                      </a:prstGeom>
                      <a:noFill/>
                      <a:ln>
                        <a:noFill/>
                      </a:ln>
                    </wps:spPr>
                    <wps:txbx>
                      <w:txbxContent>
                        <w:p w14:paraId="3FFFC0D3">
                          <w:pPr>
                            <w:pStyle w:val="7"/>
                            <w:rPr>
                              <w:rStyle w:val="14"/>
                              <w:rFonts w:ascii="宋体" w:hAnsi="宋体" w:cs="宋体"/>
                              <w:sz w:val="28"/>
                              <w:szCs w:val="28"/>
                            </w:rPr>
                          </w:pPr>
                          <w:r>
                            <w:rPr>
                              <w:rFonts w:hint="eastAsia" w:ascii="宋体" w:hAnsi="宋体" w:cs="宋体"/>
                              <w:sz w:val="28"/>
                              <w:szCs w:val="28"/>
                            </w:rPr>
                            <w:fldChar w:fldCharType="begin"/>
                          </w:r>
                          <w:r>
                            <w:rPr>
                              <w:rStyle w:val="14"/>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4"/>
                              <w:rFonts w:ascii="宋体" w:hAnsi="宋体" w:cs="宋体"/>
                              <w:sz w:val="28"/>
                              <w:szCs w:val="28"/>
                            </w:rPr>
                            <w:t>- 1 -</w:t>
                          </w:r>
                          <w:r>
                            <w:rPr>
                              <w:rFonts w:hint="eastAsia" w:ascii="宋体" w:hAnsi="宋体" w:cs="宋体"/>
                              <w:sz w:val="28"/>
                              <w:szCs w:val="28"/>
                            </w:rPr>
                            <w:fldChar w:fldCharType="end"/>
                          </w:r>
                        </w:p>
                        <w:p w14:paraId="05BE8CF5"/>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30.25pt;width:42.05pt;mso-position-horizontal:outside;mso-position-horizontal-relative:margin;mso-wrap-style:none;z-index:251659264;mso-width-relative:page;mso-height-relative:page;" filled="f" stroked="f" coordsize="21600,21600" o:gfxdata="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E+eQ6dEAAAADAQAADwAAAAAAAAABACAAAAAiAAAAZHJz&#10;L2Rvd25yZXYueG1sUEsBAhQAFAAAAAgAh07iQL3oI0ILAgAAAgQAAA4AAAAAAAAAAQAgAAAAIAEA&#10;AGRycy9lMm9Eb2MueG1sUEsFBgAAAAAGAAYAWQEAAJ0FAAAAAA==&#10;">
              <v:fill on="f" focussize="0,0"/>
              <v:stroke on="f"/>
              <v:imagedata o:title=""/>
              <o:lock v:ext="edit" aspectratio="f"/>
              <v:textbox inset="0mm,0mm,0mm,0mm" style="mso-fit-shape-to-text:t;">
                <w:txbxContent>
                  <w:p w14:paraId="3FFFC0D3">
                    <w:pPr>
                      <w:pStyle w:val="7"/>
                      <w:rPr>
                        <w:rStyle w:val="14"/>
                        <w:rFonts w:ascii="宋体" w:hAnsi="宋体" w:cs="宋体"/>
                        <w:sz w:val="28"/>
                        <w:szCs w:val="28"/>
                      </w:rPr>
                    </w:pPr>
                    <w:r>
                      <w:rPr>
                        <w:rFonts w:hint="eastAsia" w:ascii="宋体" w:hAnsi="宋体" w:cs="宋体"/>
                        <w:sz w:val="28"/>
                        <w:szCs w:val="28"/>
                      </w:rPr>
                      <w:fldChar w:fldCharType="begin"/>
                    </w:r>
                    <w:r>
                      <w:rPr>
                        <w:rStyle w:val="14"/>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4"/>
                        <w:rFonts w:ascii="宋体" w:hAnsi="宋体" w:cs="宋体"/>
                        <w:sz w:val="28"/>
                        <w:szCs w:val="28"/>
                      </w:rPr>
                      <w:t>- 1 -</w:t>
                    </w:r>
                    <w:r>
                      <w:rPr>
                        <w:rFonts w:hint="eastAsia" w:ascii="宋体" w:hAnsi="宋体" w:cs="宋体"/>
                        <w:sz w:val="28"/>
                        <w:szCs w:val="28"/>
                      </w:rPr>
                      <w:fldChar w:fldCharType="end"/>
                    </w:r>
                  </w:p>
                  <w:p w14:paraId="05BE8CF5"/>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3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95A"/>
    <w:rsid w:val="00003708"/>
    <w:rsid w:val="00036537"/>
    <w:rsid w:val="00080269"/>
    <w:rsid w:val="000959FC"/>
    <w:rsid w:val="00095A71"/>
    <w:rsid w:val="000B1C55"/>
    <w:rsid w:val="000C2908"/>
    <w:rsid w:val="000C2D2F"/>
    <w:rsid w:val="000D0155"/>
    <w:rsid w:val="000E5230"/>
    <w:rsid w:val="000E5B9A"/>
    <w:rsid w:val="000E640E"/>
    <w:rsid w:val="000F02CD"/>
    <w:rsid w:val="000F1EF7"/>
    <w:rsid w:val="001000CF"/>
    <w:rsid w:val="001023DA"/>
    <w:rsid w:val="00105906"/>
    <w:rsid w:val="00122C7E"/>
    <w:rsid w:val="001240B6"/>
    <w:rsid w:val="001241D6"/>
    <w:rsid w:val="001342E5"/>
    <w:rsid w:val="00145C70"/>
    <w:rsid w:val="00155455"/>
    <w:rsid w:val="001605A3"/>
    <w:rsid w:val="001749C9"/>
    <w:rsid w:val="001A2255"/>
    <w:rsid w:val="001C4FF0"/>
    <w:rsid w:val="001E5C71"/>
    <w:rsid w:val="001F4357"/>
    <w:rsid w:val="00225FBE"/>
    <w:rsid w:val="00232232"/>
    <w:rsid w:val="00271925"/>
    <w:rsid w:val="0027498D"/>
    <w:rsid w:val="002A1895"/>
    <w:rsid w:val="002A7752"/>
    <w:rsid w:val="002B55AD"/>
    <w:rsid w:val="002C7984"/>
    <w:rsid w:val="002D495A"/>
    <w:rsid w:val="002D5360"/>
    <w:rsid w:val="002D5421"/>
    <w:rsid w:val="002E11FC"/>
    <w:rsid w:val="002F2BA0"/>
    <w:rsid w:val="002F2E35"/>
    <w:rsid w:val="002F4BBF"/>
    <w:rsid w:val="0030207A"/>
    <w:rsid w:val="00304317"/>
    <w:rsid w:val="00324B95"/>
    <w:rsid w:val="00335243"/>
    <w:rsid w:val="00335CF6"/>
    <w:rsid w:val="003543E2"/>
    <w:rsid w:val="00355235"/>
    <w:rsid w:val="003618CB"/>
    <w:rsid w:val="00363B58"/>
    <w:rsid w:val="00363E73"/>
    <w:rsid w:val="003650B7"/>
    <w:rsid w:val="003A7B7F"/>
    <w:rsid w:val="003B1236"/>
    <w:rsid w:val="003C2D63"/>
    <w:rsid w:val="003D2823"/>
    <w:rsid w:val="0040006E"/>
    <w:rsid w:val="00405E74"/>
    <w:rsid w:val="0041300E"/>
    <w:rsid w:val="00424599"/>
    <w:rsid w:val="00424827"/>
    <w:rsid w:val="00430699"/>
    <w:rsid w:val="00431E48"/>
    <w:rsid w:val="00433CBE"/>
    <w:rsid w:val="00433E57"/>
    <w:rsid w:val="0044494F"/>
    <w:rsid w:val="00460169"/>
    <w:rsid w:val="00463562"/>
    <w:rsid w:val="00482F98"/>
    <w:rsid w:val="00496B4B"/>
    <w:rsid w:val="004A648A"/>
    <w:rsid w:val="004E7888"/>
    <w:rsid w:val="004F4CBD"/>
    <w:rsid w:val="005039CE"/>
    <w:rsid w:val="00511A13"/>
    <w:rsid w:val="00553AB5"/>
    <w:rsid w:val="00587609"/>
    <w:rsid w:val="0059566B"/>
    <w:rsid w:val="005D431C"/>
    <w:rsid w:val="005E415D"/>
    <w:rsid w:val="005F682D"/>
    <w:rsid w:val="00615181"/>
    <w:rsid w:val="006300A7"/>
    <w:rsid w:val="00632731"/>
    <w:rsid w:val="00644642"/>
    <w:rsid w:val="00655D5D"/>
    <w:rsid w:val="00664CFA"/>
    <w:rsid w:val="0067381B"/>
    <w:rsid w:val="00681E39"/>
    <w:rsid w:val="006A0A3B"/>
    <w:rsid w:val="006B2D1F"/>
    <w:rsid w:val="006E424B"/>
    <w:rsid w:val="007006CB"/>
    <w:rsid w:val="0070314F"/>
    <w:rsid w:val="0070359F"/>
    <w:rsid w:val="00737507"/>
    <w:rsid w:val="007440BD"/>
    <w:rsid w:val="00745B07"/>
    <w:rsid w:val="00750A5F"/>
    <w:rsid w:val="00760129"/>
    <w:rsid w:val="00764E0E"/>
    <w:rsid w:val="00771B00"/>
    <w:rsid w:val="007A3F49"/>
    <w:rsid w:val="007C3F02"/>
    <w:rsid w:val="00833442"/>
    <w:rsid w:val="00855137"/>
    <w:rsid w:val="00862230"/>
    <w:rsid w:val="00867DDF"/>
    <w:rsid w:val="008C4D62"/>
    <w:rsid w:val="008E103B"/>
    <w:rsid w:val="008E2821"/>
    <w:rsid w:val="008E51C8"/>
    <w:rsid w:val="008E5FBB"/>
    <w:rsid w:val="008E62F7"/>
    <w:rsid w:val="009008EC"/>
    <w:rsid w:val="0090784A"/>
    <w:rsid w:val="00917134"/>
    <w:rsid w:val="009244BA"/>
    <w:rsid w:val="00971049"/>
    <w:rsid w:val="009A152B"/>
    <w:rsid w:val="009A5C88"/>
    <w:rsid w:val="009A7D7D"/>
    <w:rsid w:val="009D17A3"/>
    <w:rsid w:val="009D2684"/>
    <w:rsid w:val="00A02EA1"/>
    <w:rsid w:val="00A03867"/>
    <w:rsid w:val="00A1386F"/>
    <w:rsid w:val="00A252D5"/>
    <w:rsid w:val="00A274C7"/>
    <w:rsid w:val="00A33ECC"/>
    <w:rsid w:val="00A57C25"/>
    <w:rsid w:val="00A633AF"/>
    <w:rsid w:val="00A65E1C"/>
    <w:rsid w:val="00A678D4"/>
    <w:rsid w:val="00A67E32"/>
    <w:rsid w:val="00A97562"/>
    <w:rsid w:val="00AC170F"/>
    <w:rsid w:val="00AD2762"/>
    <w:rsid w:val="00B0275B"/>
    <w:rsid w:val="00B240A2"/>
    <w:rsid w:val="00B272A4"/>
    <w:rsid w:val="00B42C5A"/>
    <w:rsid w:val="00B51B49"/>
    <w:rsid w:val="00B552F0"/>
    <w:rsid w:val="00B635BB"/>
    <w:rsid w:val="00B74063"/>
    <w:rsid w:val="00BB0B3C"/>
    <w:rsid w:val="00BE1749"/>
    <w:rsid w:val="00C01722"/>
    <w:rsid w:val="00C1503B"/>
    <w:rsid w:val="00C20356"/>
    <w:rsid w:val="00C257C6"/>
    <w:rsid w:val="00C32665"/>
    <w:rsid w:val="00C44DFC"/>
    <w:rsid w:val="00C53039"/>
    <w:rsid w:val="00C55FF8"/>
    <w:rsid w:val="00C57970"/>
    <w:rsid w:val="00C73ADE"/>
    <w:rsid w:val="00C75EAA"/>
    <w:rsid w:val="00C820B6"/>
    <w:rsid w:val="00C843BC"/>
    <w:rsid w:val="00CB39F1"/>
    <w:rsid w:val="00CB5904"/>
    <w:rsid w:val="00CC7207"/>
    <w:rsid w:val="00CD164C"/>
    <w:rsid w:val="00CD72C8"/>
    <w:rsid w:val="00CE1A19"/>
    <w:rsid w:val="00CE2CC4"/>
    <w:rsid w:val="00CF5837"/>
    <w:rsid w:val="00CF7CE1"/>
    <w:rsid w:val="00D26ED4"/>
    <w:rsid w:val="00D355DD"/>
    <w:rsid w:val="00D45130"/>
    <w:rsid w:val="00D62384"/>
    <w:rsid w:val="00D751DA"/>
    <w:rsid w:val="00D87781"/>
    <w:rsid w:val="00DD3ED9"/>
    <w:rsid w:val="00DD6041"/>
    <w:rsid w:val="00DE359E"/>
    <w:rsid w:val="00DF639F"/>
    <w:rsid w:val="00E05A72"/>
    <w:rsid w:val="00E14A76"/>
    <w:rsid w:val="00E30997"/>
    <w:rsid w:val="00E31DE2"/>
    <w:rsid w:val="00E32327"/>
    <w:rsid w:val="00E4298F"/>
    <w:rsid w:val="00E53BB5"/>
    <w:rsid w:val="00E67C35"/>
    <w:rsid w:val="00E720A6"/>
    <w:rsid w:val="00E872E7"/>
    <w:rsid w:val="00EE0600"/>
    <w:rsid w:val="00EF6A6C"/>
    <w:rsid w:val="00F22718"/>
    <w:rsid w:val="00F25AED"/>
    <w:rsid w:val="00F3258A"/>
    <w:rsid w:val="00F356EB"/>
    <w:rsid w:val="00F37536"/>
    <w:rsid w:val="00F44EAC"/>
    <w:rsid w:val="00F476D9"/>
    <w:rsid w:val="00F61182"/>
    <w:rsid w:val="00F95726"/>
    <w:rsid w:val="00F95AF7"/>
    <w:rsid w:val="00FB5165"/>
    <w:rsid w:val="00FE2312"/>
    <w:rsid w:val="00FF373A"/>
    <w:rsid w:val="140A08FA"/>
    <w:rsid w:val="1C8B0931"/>
    <w:rsid w:val="2197632B"/>
    <w:rsid w:val="2B497878"/>
    <w:rsid w:val="395835DE"/>
    <w:rsid w:val="3DB56FC8"/>
    <w:rsid w:val="4149310E"/>
    <w:rsid w:val="4C50274C"/>
    <w:rsid w:val="56AA3947"/>
    <w:rsid w:val="6BE10EA5"/>
    <w:rsid w:val="73A705B8"/>
    <w:rsid w:val="7FD0575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0"/>
    <w:pPr>
      <w:keepNext/>
      <w:jc w:val="center"/>
      <w:outlineLvl w:val="0"/>
    </w:pPr>
    <w:rPr>
      <w:rFonts w:ascii="仿宋_GB2312" w:hAnsi="Times New Roman" w:eastAsia="仿宋_GB2312" w:cs="Times New Roman"/>
      <w:kern w:val="0"/>
      <w:sz w:val="28"/>
      <w:szCs w:val="20"/>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8"/>
    <w:unhideWhenUsed/>
    <w:qFormat/>
    <w:uiPriority w:val="99"/>
    <w:pPr>
      <w:jc w:val="left"/>
    </w:pPr>
  </w:style>
  <w:style w:type="paragraph" w:styleId="4">
    <w:name w:val="Plain Text"/>
    <w:basedOn w:val="1"/>
    <w:link w:val="32"/>
    <w:qFormat/>
    <w:uiPriority w:val="0"/>
    <w:pPr>
      <w:spacing w:line="360" w:lineRule="auto"/>
      <w:ind w:firstLine="480" w:firstLineChars="200"/>
    </w:pPr>
    <w:rPr>
      <w:rFonts w:ascii="仿宋_GB2312" w:hAnsi="Times New Roman" w:eastAsia="宋体" w:cs="Times New Roman"/>
      <w:sz w:val="24"/>
      <w:szCs w:val="24"/>
    </w:rPr>
  </w:style>
  <w:style w:type="paragraph" w:styleId="5">
    <w:name w:val="Date"/>
    <w:basedOn w:val="1"/>
    <w:next w:val="1"/>
    <w:link w:val="19"/>
    <w:semiHidden/>
    <w:unhideWhenUsed/>
    <w:qFormat/>
    <w:uiPriority w:val="99"/>
    <w:pPr>
      <w:ind w:left="100" w:leftChars="2500"/>
    </w:pPr>
  </w:style>
  <w:style w:type="paragraph" w:styleId="6">
    <w:name w:val="Balloon Text"/>
    <w:basedOn w:val="1"/>
    <w:link w:val="25"/>
    <w:unhideWhenUsed/>
    <w:qFormat/>
    <w:uiPriority w:val="99"/>
    <w:rPr>
      <w:sz w:val="18"/>
      <w:szCs w:val="18"/>
    </w:rPr>
  </w:style>
  <w:style w:type="paragraph" w:styleId="7">
    <w:name w:val="footer"/>
    <w:basedOn w:val="1"/>
    <w:link w:val="18"/>
    <w:unhideWhenUsed/>
    <w:qFormat/>
    <w:uiPriority w:val="99"/>
    <w:pPr>
      <w:tabs>
        <w:tab w:val="center" w:pos="4153"/>
        <w:tab w:val="right" w:pos="8306"/>
      </w:tabs>
      <w:snapToGrid w:val="0"/>
      <w:jc w:val="left"/>
    </w:pPr>
    <w:rPr>
      <w:sz w:val="18"/>
      <w:szCs w:val="18"/>
    </w:rPr>
  </w:style>
  <w:style w:type="paragraph" w:styleId="8">
    <w:name w:val="header"/>
    <w:basedOn w:val="1"/>
    <w:link w:val="17"/>
    <w:unhideWhenUsed/>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3"/>
    <w:next w:val="3"/>
    <w:link w:val="21"/>
    <w:unhideWhenUsed/>
    <w:qFormat/>
    <w:uiPriority w:val="99"/>
    <w:rPr>
      <w:b/>
      <w:bCs/>
      <w:szCs w:val="24"/>
    </w:rPr>
  </w:style>
  <w:style w:type="table" w:styleId="12">
    <w:name w:val="Table Grid"/>
    <w:basedOn w:val="11"/>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styleId="15">
    <w:name w:val="Hyperlink"/>
    <w:basedOn w:val="13"/>
    <w:unhideWhenUsed/>
    <w:qFormat/>
    <w:uiPriority w:val="99"/>
    <w:rPr>
      <w:color w:val="0000FF" w:themeColor="hyperlink"/>
      <w:u w:val="single"/>
      <w14:textFill>
        <w14:solidFill>
          <w14:schemeClr w14:val="hlink"/>
        </w14:solidFill>
      </w14:textFill>
    </w:rPr>
  </w:style>
  <w:style w:type="character" w:styleId="16">
    <w:name w:val="annotation reference"/>
    <w:unhideWhenUsed/>
    <w:qFormat/>
    <w:uiPriority w:val="99"/>
    <w:rPr>
      <w:sz w:val="21"/>
      <w:szCs w:val="21"/>
    </w:rPr>
  </w:style>
  <w:style w:type="character" w:customStyle="1" w:styleId="17">
    <w:name w:val="页眉 Char"/>
    <w:basedOn w:val="13"/>
    <w:link w:val="8"/>
    <w:qFormat/>
    <w:uiPriority w:val="99"/>
    <w:rPr>
      <w:sz w:val="18"/>
      <w:szCs w:val="18"/>
    </w:rPr>
  </w:style>
  <w:style w:type="character" w:customStyle="1" w:styleId="18">
    <w:name w:val="页脚 Char"/>
    <w:basedOn w:val="13"/>
    <w:link w:val="7"/>
    <w:qFormat/>
    <w:uiPriority w:val="99"/>
    <w:rPr>
      <w:sz w:val="18"/>
      <w:szCs w:val="18"/>
    </w:rPr>
  </w:style>
  <w:style w:type="character" w:customStyle="1" w:styleId="19">
    <w:name w:val="日期 Char"/>
    <w:basedOn w:val="13"/>
    <w:link w:val="5"/>
    <w:qFormat/>
    <w:uiPriority w:val="0"/>
  </w:style>
  <w:style w:type="character" w:customStyle="1" w:styleId="20">
    <w:name w:val="标题 1 Char"/>
    <w:basedOn w:val="13"/>
    <w:qFormat/>
    <w:uiPriority w:val="9"/>
    <w:rPr>
      <w:b/>
      <w:bCs/>
      <w:kern w:val="44"/>
      <w:sz w:val="44"/>
      <w:szCs w:val="44"/>
    </w:rPr>
  </w:style>
  <w:style w:type="character" w:customStyle="1" w:styleId="21">
    <w:name w:val="批注主题 Char1"/>
    <w:link w:val="10"/>
    <w:qFormat/>
    <w:uiPriority w:val="99"/>
    <w:rPr>
      <w:b/>
      <w:bCs/>
      <w:szCs w:val="24"/>
    </w:rPr>
  </w:style>
  <w:style w:type="character" w:customStyle="1" w:styleId="22">
    <w:name w:val="页眉 字符"/>
    <w:qFormat/>
    <w:uiPriority w:val="0"/>
    <w:rPr>
      <w:sz w:val="18"/>
      <w:szCs w:val="18"/>
    </w:rPr>
  </w:style>
  <w:style w:type="character" w:customStyle="1" w:styleId="23">
    <w:name w:val="页脚 字符"/>
    <w:qFormat/>
    <w:uiPriority w:val="99"/>
    <w:rPr>
      <w:sz w:val="18"/>
      <w:szCs w:val="18"/>
    </w:rPr>
  </w:style>
  <w:style w:type="character" w:customStyle="1" w:styleId="24">
    <w:name w:val="标题 1 Char1"/>
    <w:link w:val="2"/>
    <w:qFormat/>
    <w:uiPriority w:val="0"/>
    <w:rPr>
      <w:rFonts w:ascii="仿宋_GB2312" w:hAnsi="Times New Roman" w:eastAsia="仿宋_GB2312" w:cs="Times New Roman"/>
      <w:kern w:val="0"/>
      <w:sz w:val="28"/>
      <w:szCs w:val="20"/>
    </w:rPr>
  </w:style>
  <w:style w:type="character" w:customStyle="1" w:styleId="25">
    <w:name w:val="批注框文本 Char1"/>
    <w:link w:val="6"/>
    <w:qFormat/>
    <w:uiPriority w:val="99"/>
    <w:rPr>
      <w:sz w:val="18"/>
      <w:szCs w:val="18"/>
    </w:rPr>
  </w:style>
  <w:style w:type="character" w:customStyle="1" w:styleId="26">
    <w:name w:val="批注文字 字符"/>
    <w:semiHidden/>
    <w:qFormat/>
    <w:uiPriority w:val="99"/>
    <w:rPr>
      <w:kern w:val="2"/>
      <w:sz w:val="21"/>
      <w:szCs w:val="24"/>
    </w:rPr>
  </w:style>
  <w:style w:type="character" w:customStyle="1" w:styleId="27">
    <w:name w:val="font11"/>
    <w:qFormat/>
    <w:uiPriority w:val="0"/>
    <w:rPr>
      <w:rFonts w:hint="eastAsia" w:ascii="宋体" w:hAnsi="宋体" w:eastAsia="宋体" w:cs="宋体"/>
      <w:b/>
      <w:color w:val="000000"/>
      <w:sz w:val="32"/>
      <w:szCs w:val="32"/>
      <w:u w:val="none"/>
    </w:rPr>
  </w:style>
  <w:style w:type="character" w:customStyle="1" w:styleId="28">
    <w:name w:val="批注文字 Char"/>
    <w:basedOn w:val="13"/>
    <w:link w:val="3"/>
    <w:semiHidden/>
    <w:qFormat/>
    <w:uiPriority w:val="99"/>
  </w:style>
  <w:style w:type="character" w:customStyle="1" w:styleId="29">
    <w:name w:val="批注主题 Char"/>
    <w:basedOn w:val="28"/>
    <w:semiHidden/>
    <w:qFormat/>
    <w:uiPriority w:val="99"/>
    <w:rPr>
      <w:b/>
      <w:bCs/>
    </w:rPr>
  </w:style>
  <w:style w:type="character" w:customStyle="1" w:styleId="30">
    <w:name w:val="批注框文本 Char"/>
    <w:basedOn w:val="13"/>
    <w:semiHidden/>
    <w:qFormat/>
    <w:uiPriority w:val="99"/>
    <w:rPr>
      <w:sz w:val="18"/>
      <w:szCs w:val="18"/>
    </w:rPr>
  </w:style>
  <w:style w:type="paragraph" w:customStyle="1" w:styleId="31">
    <w:name w:val="日期1"/>
    <w:basedOn w:val="1"/>
    <w:next w:val="1"/>
    <w:qFormat/>
    <w:uiPriority w:val="0"/>
    <w:pPr>
      <w:ind w:left="100" w:leftChars="2500"/>
    </w:pPr>
    <w:rPr>
      <w:rFonts w:ascii="Times New Roman" w:hAnsi="Times New Roman" w:eastAsia="宋体" w:cs="Times New Roman"/>
      <w:szCs w:val="24"/>
    </w:rPr>
  </w:style>
  <w:style w:type="character" w:customStyle="1" w:styleId="32">
    <w:name w:val="纯文本 Char"/>
    <w:basedOn w:val="13"/>
    <w:link w:val="4"/>
    <w:qFormat/>
    <w:uiPriority w:val="0"/>
    <w:rPr>
      <w:rFonts w:ascii="仿宋_GB2312" w:hAnsi="Times New Roman" w:eastAsia="宋体" w:cs="Times New Roman"/>
      <w:sz w:val="24"/>
      <w:szCs w:val="24"/>
    </w:rPr>
  </w:style>
  <w:style w:type="paragraph" w:customStyle="1" w:styleId="33">
    <w:name w:val="Char"/>
    <w:basedOn w:val="1"/>
    <w:qFormat/>
    <w:uiPriority w:val="0"/>
    <w:pPr>
      <w:tabs>
        <w:tab w:val="left" w:pos="425"/>
      </w:tabs>
      <w:ind w:left="425" w:hanging="425"/>
    </w:pPr>
    <w:rPr>
      <w:rFonts w:ascii="Times New Roman" w:hAnsi="Times New Roman" w:eastAsia="宋体" w:cs="Times New Roman"/>
      <w:szCs w:val="24"/>
    </w:rPr>
  </w:style>
  <w:style w:type="paragraph" w:customStyle="1" w:styleId="34">
    <w:name w:val="列出段落1"/>
    <w:basedOn w:val="1"/>
    <w:qFormat/>
    <w:uiPriority w:val="0"/>
    <w:pPr>
      <w:ind w:firstLine="420" w:firstLineChars="200"/>
    </w:pPr>
    <w:rPr>
      <w:rFonts w:ascii="Calibri" w:hAnsi="Calibri" w:eastAsia="宋体" w:cs="Times New Roman"/>
    </w:rPr>
  </w:style>
  <w:style w:type="paragraph" w:styleId="35">
    <w:name w:val="List Paragraph"/>
    <w:basedOn w:val="1"/>
    <w:qFormat/>
    <w:uiPriority w:val="34"/>
    <w:pPr>
      <w:ind w:firstLine="420" w:firstLineChars="200"/>
    </w:pPr>
  </w:style>
  <w:style w:type="paragraph" w:customStyle="1" w:styleId="36">
    <w:name w:val="olistparagraph"/>
    <w:basedOn w:val="1"/>
    <w:qFormat/>
    <w:uiPriority w:val="0"/>
    <w:pPr>
      <w:spacing w:before="100" w:beforeAutospacing="1" w:after="100" w:afterAutospacing="1"/>
      <w:jc w:val="left"/>
    </w:pPr>
    <w:rPr>
      <w:rFonts w:ascii="Calibri" w:hAnsi="Calibri" w:eastAsia="宋体" w:cs="Times New Roman"/>
      <w:kern w:val="0"/>
      <w:sz w:val="24"/>
      <w:szCs w:val="24"/>
    </w:rPr>
  </w:style>
  <w:style w:type="paragraph" w:customStyle="1" w:styleId="37">
    <w:name w:val="onormal"/>
    <w:basedOn w:val="1"/>
    <w:qFormat/>
    <w:uiPriority w:val="0"/>
    <w:pPr>
      <w:spacing w:before="100" w:beforeAutospacing="1" w:after="100" w:afterAutospacing="1"/>
      <w:jc w:val="left"/>
    </w:pPr>
    <w:rPr>
      <w:rFonts w:ascii="Calibri" w:hAnsi="Calibri" w:eastAsia="宋体" w:cs="Times New Roman"/>
      <w:kern w:val="0"/>
      <w:sz w:val="24"/>
      <w:szCs w:val="24"/>
    </w:rPr>
  </w:style>
  <w:style w:type="character" w:customStyle="1" w:styleId="38">
    <w:name w:val="纯文本 Char1"/>
    <w:qFormat/>
    <w:locked/>
    <w:uiPriority w:val="0"/>
    <w:rPr>
      <w:rFonts w:hint="eastAsia" w:ascii="仿宋_GB2312" w:hAnsi="Calibri" w:eastAsia="仿宋_GB2312"/>
      <w:kern w:val="2"/>
      <w:sz w:val="24"/>
      <w:szCs w:val="24"/>
    </w:rPr>
  </w:style>
  <w:style w:type="paragraph" w:customStyle="1" w:styleId="39">
    <w:name w:val="sonormal"/>
    <w:basedOn w:val="1"/>
    <w:qFormat/>
    <w:uiPriority w:val="0"/>
    <w:pPr>
      <w:spacing w:before="100" w:beforeAutospacing="1" w:after="100" w:afterAutospacing="1"/>
      <w:jc w:val="left"/>
    </w:pPr>
    <w:rPr>
      <w:rFonts w:ascii="Calibri" w:hAnsi="Calibri" w:eastAsia="宋体" w:cs="Times New Roman"/>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hps</Company>
  <Pages>3</Pages>
  <Words>1230</Words>
  <Characters>1329</Characters>
  <Lines>16</Lines>
  <Paragraphs>4</Paragraphs>
  <TotalTime>0</TotalTime>
  <ScaleCrop>false</ScaleCrop>
  <LinksUpToDate>false</LinksUpToDate>
  <CharactersWithSpaces>1338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2024-05-21T06:29:00Z</dcterms:created>
  <dc:creator>宋莎莎</dc:creator>
  <cp:lastModifiedBy> drow</cp:lastModifiedBy>
  <cp:lastPrinted>2023-02-16T02:21:00Z</cp:lastPrinted>
  <dcterms:modified xsi:type="dcterms:W3CDTF">2026-09-17T00:23:41Z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eyJoZGlkIjoiZjM3ZWZhOTQ3N2Y1M2UwNTI5NDk4YWM0MGUwNzRiMzUiLCJ1c2VySWQiOiI0MTE4Nzc5NjgifQ==</vt:lpwstr>
  </property>
  <property fmtid="{D5CDD505-2E9C-101B-9397-08002B2CF9AE}" pid="3" name="KSOProductBuildVer">
    <vt:lpwstr>2052-12.1.0.28505</vt:lpwstr>
  </property>
  <property fmtid="{D5CDD505-2E9C-101B-9397-08002B2CF9AE}" pid="4" name="ICV">
    <vt:lpwstr>573FAA350DFA4916A3B80F12BF8704CE_12</vt:lpwstr>
  </property>
</Properties>
</file>